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widowControl w:val="0"/>
        <w:spacing w:after="0" w:before="80" w:lineRule="auto"/>
        <w:ind w:left="23" w:firstLine="0"/>
        <w:jc w:val="center"/>
        <w:rPr>
          <w:rFonts w:ascii="Arial" w:cs="Arial" w:eastAsia="Arial" w:hAnsi="Arial"/>
          <w:sz w:val="34"/>
          <w:szCs w:val="34"/>
        </w:rPr>
      </w:pPr>
      <w:r w:rsidDel="00000000" w:rsidR="00000000" w:rsidRPr="00000000">
        <w:rPr>
          <w:rFonts w:ascii="Arial" w:cs="Arial" w:eastAsia="Arial" w:hAnsi="Arial"/>
          <w:sz w:val="34"/>
          <w:szCs w:val="34"/>
        </w:rPr>
        <w:drawing>
          <wp:inline distB="114300" distT="114300" distL="114300" distR="114300">
            <wp:extent cx="2744625" cy="1470616"/>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744625" cy="1470616"/>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1"/>
        <w:keepNext w:val="0"/>
        <w:keepLines w:val="0"/>
        <w:widowControl w:val="0"/>
        <w:spacing w:after="0" w:before="80" w:lineRule="auto"/>
        <w:ind w:left="23" w:firstLine="0"/>
        <w:jc w:val="center"/>
        <w:rPr>
          <w:rFonts w:ascii="Arial" w:cs="Arial" w:eastAsia="Arial" w:hAnsi="Arial"/>
          <w:sz w:val="24"/>
          <w:szCs w:val="24"/>
        </w:rPr>
      </w:pPr>
      <w:r w:rsidDel="00000000" w:rsidR="00000000" w:rsidRPr="00000000">
        <w:rPr>
          <w:rFonts w:ascii="Arial" w:cs="Arial" w:eastAsia="Arial" w:hAnsi="Arial"/>
          <w:sz w:val="34"/>
          <w:szCs w:val="34"/>
          <w:rtl w:val="0"/>
        </w:rPr>
        <w:t xml:space="preserve">SUMMARY OF STUDY PROTOCOL</w:t>
      </w:r>
      <w:r w:rsidDel="00000000" w:rsidR="00000000" w:rsidRPr="00000000">
        <w:rPr>
          <w:rtl w:val="0"/>
        </w:rPr>
      </w:r>
    </w:p>
    <w:p w:rsidR="00000000" w:rsidDel="00000000" w:rsidP="00000000" w:rsidRDefault="00000000" w:rsidRPr="00000000" w14:paraId="00000003">
      <w:pPr>
        <w:pStyle w:val="Heading1"/>
        <w:keepNext w:val="0"/>
        <w:keepLines w:val="0"/>
        <w:widowControl w:val="0"/>
        <w:spacing w:after="0" w:before="80" w:lineRule="auto"/>
        <w:ind w:left="23" w:firstLine="0"/>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TITLE:</w:t>
      </w:r>
    </w:p>
    <w:p w:rsidR="00000000" w:rsidDel="00000000" w:rsidP="00000000" w:rsidRDefault="00000000" w:rsidRPr="00000000" w14:paraId="00000004">
      <w:pPr>
        <w:pStyle w:val="Heading1"/>
        <w:keepNext w:val="0"/>
        <w:keepLines w:val="0"/>
        <w:widowControl w:val="0"/>
        <w:spacing w:after="0" w:before="80" w:lineRule="auto"/>
        <w:ind w:left="23" w:firstLine="0"/>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Comparative evaluation of 68Ga-FAPI-46 PET-CT, CECT and Diagnostic Laparoscopy for detection of peritoneal metastases in newly diagnosed gastric carcinoma: Impact on PCI scoring and treatment strategy</w:t>
      </w:r>
    </w:p>
    <w:p w:rsidR="00000000" w:rsidDel="00000000" w:rsidP="00000000" w:rsidRDefault="00000000" w:rsidRPr="00000000" w14:paraId="00000005">
      <w:pPr>
        <w:widowControl w:val="0"/>
        <w:spacing w:after="0" w:line="24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widowControl w:val="0"/>
        <w:spacing w:after="0" w:line="240" w:lineRule="auto"/>
        <w:jc w:val="cente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DEPARTMENT OF NUCLEAR MEDICINE</w:t>
      </w:r>
    </w:p>
    <w:p w:rsidR="00000000" w:rsidDel="00000000" w:rsidP="00000000" w:rsidRDefault="00000000" w:rsidRPr="00000000" w14:paraId="00000007">
      <w:pPr>
        <w:widowControl w:val="0"/>
        <w:spacing w:after="0" w:line="240" w:lineRule="auto"/>
        <w:jc w:val="center"/>
        <w:rPr>
          <w:rFonts w:ascii="Arial" w:cs="Arial" w:eastAsia="Arial" w:hAnsi="Arial"/>
          <w:sz w:val="28"/>
          <w:szCs w:val="28"/>
        </w:rPr>
      </w:pPr>
      <w:r w:rsidDel="00000000" w:rsidR="00000000" w:rsidRPr="00000000">
        <w:rPr>
          <w:rFonts w:ascii="Arial" w:cs="Arial" w:eastAsia="Arial" w:hAnsi="Arial"/>
          <w:b w:val="1"/>
          <w:bCs w:val="1"/>
          <w:sz w:val="28"/>
          <w:szCs w:val="28"/>
          <w:rtl w:val="0"/>
        </w:rPr>
        <w:t xml:space="preserve">TATA MEDICAL CENTER. KOLKATA</w:t>
      </w:r>
      <w:r w:rsidDel="00000000" w:rsidR="00000000" w:rsidRPr="00000000">
        <w:rPr>
          <w:rtl w:val="0"/>
        </w:rPr>
      </w:r>
    </w:p>
    <w:p w:rsidR="00000000" w:rsidDel="00000000" w:rsidP="00000000" w:rsidRDefault="00000000" w:rsidRPr="00000000" w14:paraId="00000008">
      <w:pPr>
        <w:widowControl w:val="0"/>
        <w:spacing w:after="0" w:line="240" w:lineRule="auto"/>
        <w:jc w:val="left"/>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9">
      <w:pPr>
        <w:widowControl w:val="0"/>
        <w:spacing w:after="0" w:line="240" w:lineRule="auto"/>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Principal Investigator:</w:t>
      </w:r>
    </w:p>
    <w:p w:rsidR="00000000" w:rsidDel="00000000" w:rsidP="00000000" w:rsidRDefault="00000000" w:rsidRPr="00000000" w14:paraId="0000000A">
      <w:pPr>
        <w:widowControl w:val="0"/>
        <w:spacing w:after="0" w:line="240" w:lineRule="auto"/>
        <w:jc w:val="center"/>
        <w:rPr>
          <w:rFonts w:ascii="Arial" w:cs="Arial" w:eastAsia="Arial" w:hAnsi="Arial"/>
          <w:b w:val="1"/>
          <w:bCs w:val="1"/>
          <w:sz w:val="26"/>
          <w:szCs w:val="26"/>
          <w:highlight w:val="white"/>
        </w:rPr>
      </w:pPr>
      <w:r w:rsidDel="00000000" w:rsidR="00000000" w:rsidRPr="00000000">
        <w:rPr>
          <w:rFonts w:ascii="Arial" w:cs="Arial" w:eastAsia="Arial" w:hAnsi="Arial"/>
          <w:b w:val="1"/>
          <w:bCs w:val="1"/>
          <w:sz w:val="26"/>
          <w:szCs w:val="26"/>
          <w:highlight w:val="white"/>
          <w:rtl w:val="0"/>
        </w:rPr>
        <w:t xml:space="preserve">Dr. Anirban Mukherjee</w:t>
      </w:r>
    </w:p>
    <w:p w:rsidR="00000000" w:rsidDel="00000000" w:rsidP="00000000" w:rsidRDefault="00000000" w:rsidRPr="00000000" w14:paraId="0000000B">
      <w:pPr>
        <w:widowControl w:val="0"/>
        <w:spacing w:after="0" w:line="240" w:lineRule="auto"/>
        <w:jc w:val="center"/>
        <w:rPr>
          <w:rFonts w:ascii="Arial" w:cs="Arial" w:eastAsia="Arial" w:hAnsi="Arial"/>
          <w:sz w:val="26"/>
          <w:szCs w:val="26"/>
        </w:rPr>
      </w:pPr>
      <w:r w:rsidDel="00000000" w:rsidR="00000000" w:rsidRPr="00000000">
        <w:rPr>
          <w:rFonts w:ascii="Arial" w:cs="Arial" w:eastAsia="Arial" w:hAnsi="Arial"/>
          <w:sz w:val="26"/>
          <w:szCs w:val="26"/>
          <w:highlight w:val="white"/>
          <w:rtl w:val="0"/>
        </w:rPr>
        <w:t xml:space="preserve">Associate </w:t>
      </w:r>
      <w:r w:rsidDel="00000000" w:rsidR="00000000" w:rsidRPr="00000000">
        <w:rPr>
          <w:rFonts w:ascii="Arial" w:cs="Arial" w:eastAsia="Arial" w:hAnsi="Arial"/>
          <w:sz w:val="26"/>
          <w:szCs w:val="26"/>
          <w:rtl w:val="0"/>
        </w:rPr>
        <w:t xml:space="preserve">Consultant </w:t>
      </w:r>
    </w:p>
    <w:p w:rsidR="00000000" w:rsidDel="00000000" w:rsidP="00000000" w:rsidRDefault="00000000" w:rsidRPr="00000000" w14:paraId="0000000C">
      <w:pPr>
        <w:widowControl w:val="0"/>
        <w:spacing w:after="0" w:line="240" w:lineRule="auto"/>
        <w:jc w:val="center"/>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Department of Nuclear Medicine</w:t>
      </w:r>
    </w:p>
    <w:p w:rsidR="00000000" w:rsidDel="00000000" w:rsidP="00000000" w:rsidRDefault="00000000" w:rsidRPr="00000000" w14:paraId="0000000D">
      <w:pPr>
        <w:widowControl w:val="0"/>
        <w:spacing w:after="0" w:line="240" w:lineRule="auto"/>
        <w:jc w:val="center"/>
        <w:rPr>
          <w:rFonts w:ascii="Arial" w:cs="Arial" w:eastAsia="Arial" w:hAnsi="Arial"/>
          <w:b w:val="1"/>
          <w:bCs w:val="1"/>
          <w:sz w:val="28"/>
          <w:szCs w:val="28"/>
          <w:highlight w:val="white"/>
        </w:rPr>
      </w:pPr>
      <w:r w:rsidDel="00000000" w:rsidR="00000000" w:rsidRPr="00000000">
        <w:rPr>
          <w:rFonts w:ascii="Arial" w:cs="Arial" w:eastAsia="Arial" w:hAnsi="Arial"/>
          <w:i w:val="1"/>
          <w:iCs w:val="1"/>
          <w:sz w:val="26"/>
          <w:szCs w:val="26"/>
          <w:highlight w:val="white"/>
          <w:rtl w:val="0"/>
        </w:rPr>
        <w:t xml:space="preserve">Tata Medical Center, Kolkata</w:t>
      </w:r>
      <w:r w:rsidDel="00000000" w:rsidR="00000000" w:rsidRPr="00000000">
        <w:rPr>
          <w:rtl w:val="0"/>
        </w:rPr>
      </w:r>
    </w:p>
    <w:p w:rsidR="00000000" w:rsidDel="00000000" w:rsidP="00000000" w:rsidRDefault="00000000" w:rsidRPr="00000000" w14:paraId="0000000E">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F">
      <w:pPr>
        <w:pStyle w:val="Heading1"/>
        <w:keepNext w:val="0"/>
        <w:keepLines w:val="0"/>
        <w:widowControl w:val="0"/>
        <w:spacing w:after="0" w:before="8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Co-investigators:</w:t>
      </w:r>
    </w:p>
    <w:p w:rsidR="00000000" w:rsidDel="00000000" w:rsidP="00000000" w:rsidRDefault="00000000" w:rsidRPr="00000000" w14:paraId="00000010">
      <w:pPr>
        <w:widowControl w:val="0"/>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widowControl w:val="0"/>
        <w:spacing w:after="0" w:line="240" w:lineRule="auto"/>
        <w:jc w:val="left"/>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Dr. Shrey Aryan</w:t>
      </w:r>
    </w:p>
    <w:p w:rsidR="00000000" w:rsidDel="00000000" w:rsidP="00000000" w:rsidRDefault="00000000" w:rsidRPr="00000000" w14:paraId="00000012">
      <w:pPr>
        <w:widowControl w:val="0"/>
        <w:spacing w:after="0" w:line="240"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DNB Trainee</w:t>
      </w:r>
    </w:p>
    <w:p w:rsidR="00000000" w:rsidDel="00000000" w:rsidP="00000000" w:rsidRDefault="00000000" w:rsidRPr="00000000" w14:paraId="00000013">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Department of Nuclear Medicine</w:t>
      </w:r>
    </w:p>
    <w:p w:rsidR="00000000" w:rsidDel="00000000" w:rsidP="00000000" w:rsidRDefault="00000000" w:rsidRPr="00000000" w14:paraId="00000014">
      <w:pPr>
        <w:widowControl w:val="0"/>
        <w:spacing w:after="0" w:line="240" w:lineRule="auto"/>
        <w:rPr>
          <w:rFonts w:ascii="Arial" w:cs="Arial" w:eastAsia="Arial" w:hAnsi="Arial"/>
          <w:b w:val="1"/>
          <w:bCs w:val="1"/>
          <w:sz w:val="26"/>
          <w:szCs w:val="26"/>
        </w:rPr>
      </w:pPr>
      <w:r w:rsidDel="00000000" w:rsidR="00000000" w:rsidRPr="00000000">
        <w:rPr>
          <w:rFonts w:ascii="Arial" w:cs="Arial" w:eastAsia="Arial" w:hAnsi="Arial"/>
          <w:i w:val="1"/>
          <w:iCs w:val="1"/>
          <w:sz w:val="26"/>
          <w:szCs w:val="26"/>
          <w:highlight w:val="white"/>
          <w:rtl w:val="0"/>
        </w:rPr>
        <w:t xml:space="preserve">Tata Medical Center, Kolkata</w:t>
      </w:r>
      <w:r w:rsidDel="00000000" w:rsidR="00000000" w:rsidRPr="00000000">
        <w:rPr>
          <w:rtl w:val="0"/>
        </w:rPr>
      </w:r>
    </w:p>
    <w:p w:rsidR="00000000" w:rsidDel="00000000" w:rsidP="00000000" w:rsidRDefault="00000000" w:rsidRPr="00000000" w14:paraId="00000015">
      <w:pPr>
        <w:widowControl w:val="0"/>
        <w:spacing w:after="0" w:line="240" w:lineRule="auto"/>
        <w:jc w:val="center"/>
        <w:rPr/>
      </w:pPr>
      <w:r w:rsidDel="00000000" w:rsidR="00000000" w:rsidRPr="00000000">
        <w:rPr>
          <w:rtl w:val="0"/>
        </w:rPr>
      </w:r>
    </w:p>
    <w:p w:rsidR="00000000" w:rsidDel="00000000" w:rsidP="00000000" w:rsidRDefault="00000000" w:rsidRPr="00000000" w14:paraId="00000016">
      <w:pPr>
        <w:widowControl w:val="0"/>
        <w:spacing w:after="0" w:line="240" w:lineRule="auto"/>
        <w:rPr>
          <w:rFonts w:ascii="Arial" w:cs="Arial" w:eastAsia="Arial" w:hAnsi="Arial"/>
          <w:b w:val="1"/>
          <w:bCs w:val="1"/>
          <w:sz w:val="26"/>
          <w:szCs w:val="26"/>
          <w:highlight w:val="white"/>
        </w:rPr>
      </w:pPr>
      <w:r w:rsidDel="00000000" w:rsidR="00000000" w:rsidRPr="00000000">
        <w:rPr>
          <w:rFonts w:ascii="Arial" w:cs="Arial" w:eastAsia="Arial" w:hAnsi="Arial"/>
          <w:b w:val="1"/>
          <w:bCs w:val="1"/>
          <w:sz w:val="26"/>
          <w:szCs w:val="26"/>
          <w:highlight w:val="white"/>
          <w:rtl w:val="0"/>
        </w:rPr>
        <w:t xml:space="preserve">Dr. Soumendranath Ray</w:t>
      </w:r>
    </w:p>
    <w:p w:rsidR="00000000" w:rsidDel="00000000" w:rsidP="00000000" w:rsidRDefault="00000000" w:rsidRPr="00000000" w14:paraId="00000017">
      <w:pPr>
        <w:widowControl w:val="0"/>
        <w:spacing w:after="0" w:line="240"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Head of Department</w:t>
      </w:r>
    </w:p>
    <w:p w:rsidR="00000000" w:rsidDel="00000000" w:rsidP="00000000" w:rsidRDefault="00000000" w:rsidRPr="00000000" w14:paraId="00000018">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Department of Nuclear Medicine</w:t>
      </w:r>
    </w:p>
    <w:p w:rsidR="00000000" w:rsidDel="00000000" w:rsidP="00000000" w:rsidRDefault="00000000" w:rsidRPr="00000000" w14:paraId="00000019">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Tata Medical Center, Kolkata</w:t>
      </w:r>
    </w:p>
    <w:p w:rsidR="00000000" w:rsidDel="00000000" w:rsidP="00000000" w:rsidRDefault="00000000" w:rsidRPr="00000000" w14:paraId="0000001A">
      <w:pPr>
        <w:widowControl w:val="0"/>
        <w:spacing w:after="0" w:line="240" w:lineRule="auto"/>
        <w:rPr>
          <w:rFonts w:ascii="Arial" w:cs="Arial" w:eastAsia="Arial" w:hAnsi="Arial"/>
          <w:sz w:val="26"/>
          <w:szCs w:val="26"/>
          <w:highlight w:val="white"/>
        </w:rPr>
      </w:pPr>
      <w:r w:rsidDel="00000000" w:rsidR="00000000" w:rsidRPr="00000000">
        <w:rPr>
          <w:rtl w:val="0"/>
        </w:rPr>
      </w:r>
    </w:p>
    <w:p w:rsidR="00000000" w:rsidDel="00000000" w:rsidP="00000000" w:rsidRDefault="00000000" w:rsidRPr="00000000" w14:paraId="0000001B">
      <w:pPr>
        <w:widowControl w:val="0"/>
        <w:spacing w:after="0" w:line="240" w:lineRule="auto"/>
        <w:rPr>
          <w:rFonts w:ascii="Arial" w:cs="Arial" w:eastAsia="Arial" w:hAnsi="Arial"/>
          <w:b w:val="1"/>
          <w:bCs w:val="1"/>
          <w:sz w:val="26"/>
          <w:szCs w:val="26"/>
          <w:highlight w:val="white"/>
        </w:rPr>
      </w:pPr>
      <w:r w:rsidDel="00000000" w:rsidR="00000000" w:rsidRPr="00000000">
        <w:rPr>
          <w:rFonts w:ascii="Arial" w:cs="Arial" w:eastAsia="Arial" w:hAnsi="Arial"/>
          <w:b w:val="1"/>
          <w:bCs w:val="1"/>
          <w:sz w:val="26"/>
          <w:szCs w:val="26"/>
          <w:highlight w:val="white"/>
          <w:rtl w:val="0"/>
        </w:rPr>
        <w:t xml:space="preserve">Dr. </w:t>
      </w:r>
      <w:r w:rsidDel="00000000" w:rsidR="00000000" w:rsidRPr="00000000">
        <w:rPr>
          <w:rFonts w:ascii="Arial" w:cs="Arial" w:eastAsia="Arial" w:hAnsi="Arial"/>
          <w:b w:val="1"/>
          <w:bCs w:val="1"/>
          <w:sz w:val="26"/>
          <w:szCs w:val="26"/>
          <w:rtl w:val="0"/>
        </w:rPr>
        <w:t xml:space="preserve">Jayanta Das</w:t>
      </w:r>
      <w:r w:rsidDel="00000000" w:rsidR="00000000" w:rsidRPr="00000000">
        <w:rPr>
          <w:rtl w:val="0"/>
        </w:rPr>
      </w:r>
    </w:p>
    <w:p w:rsidR="00000000" w:rsidDel="00000000" w:rsidP="00000000" w:rsidRDefault="00000000" w:rsidRPr="00000000" w14:paraId="0000001C">
      <w:pPr>
        <w:widowControl w:val="0"/>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Consultant </w:t>
      </w:r>
    </w:p>
    <w:p w:rsidR="00000000" w:rsidDel="00000000" w:rsidP="00000000" w:rsidRDefault="00000000" w:rsidRPr="00000000" w14:paraId="0000001D">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Department of Nuclear Medicine</w:t>
      </w:r>
    </w:p>
    <w:p w:rsidR="00000000" w:rsidDel="00000000" w:rsidP="00000000" w:rsidRDefault="00000000" w:rsidRPr="00000000" w14:paraId="0000001E">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Tata Medical Center, Kolkata</w:t>
      </w:r>
    </w:p>
    <w:p w:rsidR="00000000" w:rsidDel="00000000" w:rsidP="00000000" w:rsidRDefault="00000000" w:rsidRPr="00000000" w14:paraId="0000001F">
      <w:pPr>
        <w:widowControl w:val="0"/>
        <w:spacing w:after="0" w:line="240" w:lineRule="auto"/>
        <w:rPr>
          <w:rFonts w:ascii="Arial" w:cs="Arial" w:eastAsia="Arial" w:hAnsi="Arial"/>
          <w:i w:val="1"/>
          <w:iCs w:val="1"/>
          <w:sz w:val="26"/>
          <w:szCs w:val="26"/>
          <w:highlight w:val="white"/>
        </w:rPr>
      </w:pPr>
      <w:r w:rsidDel="00000000" w:rsidR="00000000" w:rsidRPr="00000000">
        <w:rPr>
          <w:rtl w:val="0"/>
        </w:rPr>
      </w:r>
    </w:p>
    <w:p w:rsidR="00000000" w:rsidDel="00000000" w:rsidP="00000000" w:rsidRDefault="00000000" w:rsidRPr="00000000" w14:paraId="00000020">
      <w:pPr>
        <w:widowControl w:val="0"/>
        <w:spacing w:after="0" w:line="240" w:lineRule="auto"/>
        <w:rPr>
          <w:rFonts w:ascii="Arial" w:cs="Arial" w:eastAsia="Arial" w:hAnsi="Arial"/>
          <w:b w:val="1"/>
          <w:bCs w:val="1"/>
          <w:sz w:val="26"/>
          <w:szCs w:val="26"/>
          <w:highlight w:val="white"/>
        </w:rPr>
      </w:pPr>
      <w:r w:rsidDel="00000000" w:rsidR="00000000" w:rsidRPr="00000000">
        <w:rPr>
          <w:rtl w:val="0"/>
        </w:rPr>
      </w:r>
    </w:p>
    <w:p w:rsidR="00000000" w:rsidDel="00000000" w:rsidP="00000000" w:rsidRDefault="00000000" w:rsidRPr="00000000" w14:paraId="00000021">
      <w:pPr>
        <w:widowControl w:val="0"/>
        <w:spacing w:after="0" w:line="240" w:lineRule="auto"/>
        <w:rPr>
          <w:rFonts w:ascii="Arial" w:cs="Arial" w:eastAsia="Arial" w:hAnsi="Arial"/>
          <w:b w:val="1"/>
          <w:bCs w:val="1"/>
          <w:sz w:val="26"/>
          <w:szCs w:val="26"/>
          <w:highlight w:val="white"/>
        </w:rPr>
      </w:pPr>
      <w:r w:rsidDel="00000000" w:rsidR="00000000" w:rsidRPr="00000000">
        <w:rPr>
          <w:rtl w:val="0"/>
        </w:rPr>
      </w:r>
    </w:p>
    <w:p w:rsidR="00000000" w:rsidDel="00000000" w:rsidP="00000000" w:rsidRDefault="00000000" w:rsidRPr="00000000" w14:paraId="00000022">
      <w:pPr>
        <w:widowControl w:val="0"/>
        <w:spacing w:after="0" w:line="240" w:lineRule="auto"/>
        <w:rPr>
          <w:rFonts w:ascii="Arial" w:cs="Arial" w:eastAsia="Arial" w:hAnsi="Arial"/>
          <w:b w:val="1"/>
          <w:bCs w:val="1"/>
          <w:sz w:val="26"/>
          <w:szCs w:val="26"/>
          <w:highlight w:val="white"/>
        </w:rPr>
      </w:pPr>
      <w:r w:rsidDel="00000000" w:rsidR="00000000" w:rsidRPr="00000000">
        <w:rPr>
          <w:rFonts w:ascii="Arial" w:cs="Arial" w:eastAsia="Arial" w:hAnsi="Arial"/>
          <w:b w:val="1"/>
          <w:bCs w:val="1"/>
          <w:sz w:val="26"/>
          <w:szCs w:val="26"/>
          <w:highlight w:val="white"/>
          <w:rtl w:val="0"/>
        </w:rPr>
        <w:t xml:space="preserve">Dr. </w:t>
      </w:r>
      <w:r w:rsidDel="00000000" w:rsidR="00000000" w:rsidRPr="00000000">
        <w:rPr>
          <w:rFonts w:ascii="Arial" w:cs="Arial" w:eastAsia="Arial" w:hAnsi="Arial"/>
          <w:b w:val="1"/>
          <w:bCs w:val="1"/>
          <w:sz w:val="26"/>
          <w:szCs w:val="26"/>
          <w:rtl w:val="0"/>
        </w:rPr>
        <w:t xml:space="preserve">Bipradas Roy</w:t>
      </w:r>
      <w:r w:rsidDel="00000000" w:rsidR="00000000" w:rsidRPr="00000000">
        <w:rPr>
          <w:rtl w:val="0"/>
        </w:rPr>
      </w:r>
    </w:p>
    <w:p w:rsidR="00000000" w:rsidDel="00000000" w:rsidP="00000000" w:rsidRDefault="00000000" w:rsidRPr="00000000" w14:paraId="00000023">
      <w:pPr>
        <w:widowControl w:val="0"/>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Consultant </w:t>
      </w:r>
    </w:p>
    <w:p w:rsidR="00000000" w:rsidDel="00000000" w:rsidP="00000000" w:rsidRDefault="00000000" w:rsidRPr="00000000" w14:paraId="00000024">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Department of GI-HPB Surgery</w:t>
      </w:r>
    </w:p>
    <w:p w:rsidR="00000000" w:rsidDel="00000000" w:rsidP="00000000" w:rsidRDefault="00000000" w:rsidRPr="00000000" w14:paraId="00000025">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Tata Medical Center, Kolkata</w:t>
      </w:r>
    </w:p>
    <w:p w:rsidR="00000000" w:rsidDel="00000000" w:rsidP="00000000" w:rsidRDefault="00000000" w:rsidRPr="00000000" w14:paraId="00000026">
      <w:pPr>
        <w:widowControl w:val="0"/>
        <w:spacing w:after="0" w:line="240" w:lineRule="auto"/>
        <w:rPr>
          <w:rFonts w:ascii="Arial" w:cs="Arial" w:eastAsia="Arial" w:hAnsi="Arial"/>
          <w:i w:val="1"/>
          <w:iCs w:val="1"/>
          <w:sz w:val="26"/>
          <w:szCs w:val="26"/>
          <w:highlight w:val="white"/>
        </w:rPr>
      </w:pPr>
      <w:r w:rsidDel="00000000" w:rsidR="00000000" w:rsidRPr="00000000">
        <w:rPr>
          <w:rtl w:val="0"/>
        </w:rPr>
      </w:r>
    </w:p>
    <w:p w:rsidR="00000000" w:rsidDel="00000000" w:rsidP="00000000" w:rsidRDefault="00000000" w:rsidRPr="00000000" w14:paraId="00000027">
      <w:pPr>
        <w:widowControl w:val="0"/>
        <w:spacing w:after="0" w:line="240" w:lineRule="auto"/>
        <w:rPr>
          <w:rFonts w:ascii="Arial" w:cs="Arial" w:eastAsia="Arial" w:hAnsi="Arial"/>
          <w:b w:val="1"/>
          <w:bCs w:val="1"/>
          <w:sz w:val="26"/>
          <w:szCs w:val="26"/>
          <w:highlight w:val="white"/>
        </w:rPr>
      </w:pPr>
      <w:r w:rsidDel="00000000" w:rsidR="00000000" w:rsidRPr="00000000">
        <w:rPr>
          <w:rFonts w:ascii="Arial" w:cs="Arial" w:eastAsia="Arial" w:hAnsi="Arial"/>
          <w:b w:val="1"/>
          <w:bCs w:val="1"/>
          <w:sz w:val="26"/>
          <w:szCs w:val="26"/>
          <w:highlight w:val="white"/>
          <w:rtl w:val="0"/>
        </w:rPr>
        <w:t xml:space="preserve">Dr. </w:t>
      </w:r>
      <w:r w:rsidDel="00000000" w:rsidR="00000000" w:rsidRPr="00000000">
        <w:rPr>
          <w:rFonts w:ascii="Arial" w:cs="Arial" w:eastAsia="Arial" w:hAnsi="Arial"/>
          <w:b w:val="1"/>
          <w:bCs w:val="1"/>
          <w:sz w:val="26"/>
          <w:szCs w:val="26"/>
          <w:rtl w:val="0"/>
        </w:rPr>
        <w:t xml:space="preserve">Priya Ghosh</w:t>
      </w:r>
      <w:r w:rsidDel="00000000" w:rsidR="00000000" w:rsidRPr="00000000">
        <w:rPr>
          <w:rtl w:val="0"/>
        </w:rPr>
      </w:r>
    </w:p>
    <w:p w:rsidR="00000000" w:rsidDel="00000000" w:rsidP="00000000" w:rsidRDefault="00000000" w:rsidRPr="00000000" w14:paraId="00000028">
      <w:pPr>
        <w:widowControl w:val="0"/>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Consultant </w:t>
      </w:r>
    </w:p>
    <w:p w:rsidR="00000000" w:rsidDel="00000000" w:rsidP="00000000" w:rsidRDefault="00000000" w:rsidRPr="00000000" w14:paraId="00000029">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Department of Radiology</w:t>
      </w:r>
    </w:p>
    <w:p w:rsidR="00000000" w:rsidDel="00000000" w:rsidP="00000000" w:rsidRDefault="00000000" w:rsidRPr="00000000" w14:paraId="0000002A">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Tata Medical Center, Kolkata</w:t>
      </w:r>
    </w:p>
    <w:p w:rsidR="00000000" w:rsidDel="00000000" w:rsidP="00000000" w:rsidRDefault="00000000" w:rsidRPr="00000000" w14:paraId="0000002B">
      <w:pPr>
        <w:widowControl w:val="0"/>
        <w:spacing w:after="0" w:line="240" w:lineRule="auto"/>
        <w:rPr>
          <w:rFonts w:ascii="Arial" w:cs="Arial" w:eastAsia="Arial" w:hAnsi="Arial"/>
          <w:i w:val="1"/>
          <w:iCs w:val="1"/>
          <w:sz w:val="26"/>
          <w:szCs w:val="26"/>
          <w:highlight w:val="white"/>
        </w:rPr>
      </w:pPr>
      <w:r w:rsidDel="00000000" w:rsidR="00000000" w:rsidRPr="00000000">
        <w:rPr>
          <w:rtl w:val="0"/>
        </w:rPr>
      </w:r>
    </w:p>
    <w:p w:rsidR="00000000" w:rsidDel="00000000" w:rsidP="00000000" w:rsidRDefault="00000000" w:rsidRPr="00000000" w14:paraId="0000002C">
      <w:pPr>
        <w:widowControl w:val="0"/>
        <w:spacing w:after="0" w:line="240" w:lineRule="auto"/>
        <w:rPr>
          <w:rFonts w:ascii="Arial" w:cs="Arial" w:eastAsia="Arial" w:hAnsi="Arial"/>
          <w:b w:val="1"/>
          <w:bCs w:val="1"/>
          <w:sz w:val="26"/>
          <w:szCs w:val="26"/>
          <w:highlight w:val="white"/>
        </w:rPr>
      </w:pPr>
      <w:r w:rsidDel="00000000" w:rsidR="00000000" w:rsidRPr="00000000">
        <w:rPr>
          <w:rFonts w:ascii="Arial" w:cs="Arial" w:eastAsia="Arial" w:hAnsi="Arial"/>
          <w:b w:val="1"/>
          <w:bCs w:val="1"/>
          <w:sz w:val="26"/>
          <w:szCs w:val="26"/>
          <w:highlight w:val="white"/>
          <w:rtl w:val="0"/>
        </w:rPr>
        <w:t xml:space="preserve">Dr. </w:t>
      </w:r>
      <w:r w:rsidDel="00000000" w:rsidR="00000000" w:rsidRPr="00000000">
        <w:rPr>
          <w:rFonts w:ascii="Arial" w:cs="Arial" w:eastAsia="Arial" w:hAnsi="Arial"/>
          <w:b w:val="1"/>
          <w:bCs w:val="1"/>
          <w:sz w:val="26"/>
          <w:szCs w:val="26"/>
          <w:rtl w:val="0"/>
        </w:rPr>
        <w:t xml:space="preserve">Sayantani Sinha</w:t>
      </w:r>
      <w:r w:rsidDel="00000000" w:rsidR="00000000" w:rsidRPr="00000000">
        <w:rPr>
          <w:rtl w:val="0"/>
        </w:rPr>
      </w:r>
    </w:p>
    <w:p w:rsidR="00000000" w:rsidDel="00000000" w:rsidP="00000000" w:rsidRDefault="00000000" w:rsidRPr="00000000" w14:paraId="0000002D">
      <w:pPr>
        <w:widowControl w:val="0"/>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Junior Consultant </w:t>
      </w:r>
    </w:p>
    <w:p w:rsidR="00000000" w:rsidDel="00000000" w:rsidP="00000000" w:rsidRDefault="00000000" w:rsidRPr="00000000" w14:paraId="0000002E">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Department of Nuclear Medicine</w:t>
      </w:r>
    </w:p>
    <w:p w:rsidR="00000000" w:rsidDel="00000000" w:rsidP="00000000" w:rsidRDefault="00000000" w:rsidRPr="00000000" w14:paraId="0000002F">
      <w:pPr>
        <w:widowControl w:val="0"/>
        <w:spacing w:after="0" w:line="240" w:lineRule="auto"/>
        <w:rPr>
          <w:rFonts w:ascii="Arial" w:cs="Arial" w:eastAsia="Arial" w:hAnsi="Arial"/>
          <w:b w:val="1"/>
          <w:bCs w:val="1"/>
          <w:sz w:val="26"/>
          <w:szCs w:val="26"/>
        </w:rPr>
      </w:pPr>
      <w:r w:rsidDel="00000000" w:rsidR="00000000" w:rsidRPr="00000000">
        <w:rPr>
          <w:rFonts w:ascii="Arial" w:cs="Arial" w:eastAsia="Arial" w:hAnsi="Arial"/>
          <w:i w:val="1"/>
          <w:iCs w:val="1"/>
          <w:sz w:val="26"/>
          <w:szCs w:val="26"/>
          <w:highlight w:val="white"/>
          <w:rtl w:val="0"/>
        </w:rPr>
        <w:t xml:space="preserve">Tata Medical Center, Kolkata</w:t>
      </w:r>
      <w:r w:rsidDel="00000000" w:rsidR="00000000" w:rsidRPr="00000000">
        <w:rPr>
          <w:rtl w:val="0"/>
        </w:rPr>
      </w:r>
    </w:p>
    <w:p w:rsidR="00000000" w:rsidDel="00000000" w:rsidP="00000000" w:rsidRDefault="00000000" w:rsidRPr="00000000" w14:paraId="00000030">
      <w:pPr>
        <w:spacing w:after="240" w:before="240" w:line="276" w:lineRule="auto"/>
        <w:rPr>
          <w:rFonts w:ascii="Arial" w:cs="Arial" w:eastAsia="Arial" w:hAnsi="Arial"/>
          <w:b w:val="1"/>
          <w:bCs w:val="1"/>
          <w:sz w:val="34"/>
          <w:szCs w:val="34"/>
        </w:rPr>
      </w:pPr>
      <w:r w:rsidDel="00000000" w:rsidR="00000000" w:rsidRPr="00000000">
        <w:rPr>
          <w:rFonts w:ascii="Arial" w:cs="Arial" w:eastAsia="Arial" w:hAnsi="Arial"/>
          <w:b w:val="1"/>
          <w:bCs w:val="1"/>
          <w:sz w:val="34"/>
          <w:szCs w:val="34"/>
          <w:rtl w:val="0"/>
        </w:rPr>
        <w:t xml:space="preserve">STUDY PROTOCOL</w:t>
      </w:r>
    </w:p>
    <w:p w:rsidR="00000000" w:rsidDel="00000000" w:rsidP="00000000" w:rsidRDefault="00000000" w:rsidRPr="00000000" w14:paraId="00000031">
      <w:pPr>
        <w:spacing w:after="240" w:before="240" w:line="276" w:lineRule="auto"/>
        <w:rPr>
          <w:rFonts w:ascii="Arial" w:cs="Arial" w:eastAsia="Arial" w:hAnsi="Arial"/>
          <w:b w:val="1"/>
          <w:bCs w:val="1"/>
          <w:sz w:val="30"/>
          <w:szCs w:val="30"/>
          <w:highlight w:val="green"/>
        </w:rPr>
      </w:pPr>
      <w:r w:rsidDel="00000000" w:rsidR="00000000" w:rsidRPr="00000000">
        <w:rPr>
          <w:rFonts w:ascii="Arial" w:cs="Arial" w:eastAsia="Arial" w:hAnsi="Arial"/>
          <w:b w:val="1"/>
          <w:bCs w:val="1"/>
          <w:sz w:val="30"/>
          <w:szCs w:val="30"/>
          <w:rtl w:val="0"/>
        </w:rPr>
        <w:t xml:space="preserve">Title:</w:t>
      </w:r>
      <w:r w:rsidDel="00000000" w:rsidR="00000000" w:rsidRPr="00000000">
        <w:rPr>
          <w:rFonts w:ascii="Arial" w:cs="Arial" w:eastAsia="Arial" w:hAnsi="Arial"/>
          <w:sz w:val="30"/>
          <w:szCs w:val="30"/>
          <w:rtl w:val="0"/>
        </w:rPr>
        <w:t xml:space="preserve"> </w:t>
      </w:r>
      <w:r w:rsidDel="00000000" w:rsidR="00000000" w:rsidRPr="00000000">
        <w:rPr>
          <w:rFonts w:ascii="Arial" w:cs="Arial" w:eastAsia="Arial" w:hAnsi="Arial"/>
          <w:sz w:val="28"/>
          <w:szCs w:val="28"/>
          <w:rtl w:val="0"/>
        </w:rPr>
        <w:t xml:space="preserve">Comparative evaluation of 68Ga-FAPI-46 PET-CT, CECT and Diagnostic Laparoscopy for detection of peritoneal metastases in newly diagnosed gastric carcinoma: Impact on PCI scoring and treatment strategy</w:t>
      </w:r>
      <w:r w:rsidDel="00000000" w:rsidR="00000000" w:rsidRPr="00000000">
        <w:rPr>
          <w:rtl w:val="0"/>
        </w:rPr>
      </w:r>
    </w:p>
    <w:p w:rsidR="00000000" w:rsidDel="00000000" w:rsidP="00000000" w:rsidRDefault="00000000" w:rsidRPr="00000000" w14:paraId="00000032">
      <w:pPr>
        <w:pStyle w:val="Heading3"/>
        <w:keepNext w:val="0"/>
        <w:keepLines w:val="0"/>
        <w:spacing w:line="276" w:lineRule="auto"/>
        <w:rPr>
          <w:rFonts w:ascii="Arial" w:cs="Arial" w:eastAsia="Arial" w:hAnsi="Arial"/>
          <w:sz w:val="26"/>
          <w:szCs w:val="26"/>
        </w:rPr>
      </w:pPr>
      <w:bookmarkStart w:colFirst="0" w:colLast="0" w:name="_vd4gezikwon6" w:id="0"/>
      <w:bookmarkEnd w:id="0"/>
      <w:r w:rsidDel="00000000" w:rsidR="00000000" w:rsidRPr="00000000">
        <w:rPr>
          <w:rFonts w:ascii="Arial" w:cs="Arial" w:eastAsia="Arial" w:hAnsi="Arial"/>
          <w:sz w:val="26"/>
          <w:szCs w:val="26"/>
          <w:rtl w:val="0"/>
        </w:rPr>
        <w:t xml:space="preserve">Introduction:</w:t>
      </w:r>
    </w:p>
    <w:p w:rsidR="00000000" w:rsidDel="00000000" w:rsidP="00000000" w:rsidRDefault="00000000" w:rsidRPr="00000000" w14:paraId="00000033">
      <w:pPr>
        <w:spacing w:after="240" w:before="240" w:line="276" w:lineRule="auto"/>
        <w:rPr>
          <w:rFonts w:ascii="Arial" w:cs="Arial" w:eastAsia="Arial" w:hAnsi="Arial"/>
        </w:rPr>
      </w:pPr>
      <w:r w:rsidDel="00000000" w:rsidR="00000000" w:rsidRPr="00000000">
        <w:rPr>
          <w:rFonts w:ascii="Arial" w:cs="Arial" w:eastAsia="Arial" w:hAnsi="Arial"/>
          <w:rtl w:val="0"/>
        </w:rPr>
        <w:t xml:space="preserve">Peritoneal carcinomatosis is a recognized pattern of spread in colorectal cancer and may be present either at initial diagnosis or develop later during the disease course. It occurs more frequently in gastric cancers.</w:t>
      </w:r>
      <w:hyperlink r:id="rId7">
        <w:r w:rsidDel="00000000" w:rsidR="00000000" w:rsidRPr="00000000">
          <w:rPr>
            <w:rFonts w:ascii="Arial" w:cs="Arial" w:eastAsia="Arial" w:hAnsi="Arial"/>
            <w:rtl w:val="0"/>
          </w:rPr>
          <w:t xml:space="preserve">(1)</w:t>
        </w:r>
      </w:hyperlink>
      <w:r w:rsidDel="00000000" w:rsidR="00000000" w:rsidRPr="00000000">
        <w:rPr>
          <w:rFonts w:ascii="Arial" w:cs="Arial" w:eastAsia="Arial" w:hAnsi="Arial"/>
          <w:rtl w:val="0"/>
        </w:rPr>
        <w:t xml:space="preserve">. Fibroblast activation protein (FAP) is a type II transmembrane glycoprotein. Its expression is markedly increased in conditions such as wound healing, fibrosis, chronic inflammation, and within cancer-associated fibroblasts of the tumor microenvironment; making it an attractive target for molecular imaging and theranostic applications</w:t>
      </w:r>
      <w:hyperlink r:id="rId8">
        <w:r w:rsidDel="00000000" w:rsidR="00000000" w:rsidRPr="00000000">
          <w:rPr>
            <w:rFonts w:ascii="Arial" w:cs="Arial" w:eastAsia="Arial" w:hAnsi="Arial"/>
            <w:rtl w:val="0"/>
          </w:rPr>
          <w:t xml:space="preserve">(2,3)</w:t>
        </w:r>
      </w:hyperlink>
      <w:r w:rsidDel="00000000" w:rsidR="00000000" w:rsidRPr="00000000">
        <w:rPr>
          <w:rFonts w:ascii="Arial" w:cs="Arial" w:eastAsia="Arial" w:hAnsi="Arial"/>
          <w:rtl w:val="0"/>
        </w:rPr>
        <w:t xml:space="preserve">. Contrast-enhanced CT (CECT) remains the primary imaging modality for the detection and staging of peritoneal carcinomatosis; however, its sensitivity is limited in patients with low-volume or occult peritoneal disease. Despite advances in imaging, diagnostic laparoscopy continues to be the reference standard for detecting occult peritoneal metastases and assessing disease burden. An accurate non-invasive imaging modality that closely correlates with laparoscopic findings could improve preoperative staging and treatment planning</w:t>
      </w:r>
      <w:hyperlink r:id="rId9">
        <w:r w:rsidDel="00000000" w:rsidR="00000000" w:rsidRPr="00000000">
          <w:rPr>
            <w:rFonts w:ascii="Arial" w:cs="Arial" w:eastAsia="Arial" w:hAnsi="Arial"/>
            <w:rtl w:val="0"/>
          </w:rPr>
          <w:t xml:space="preserve">(4–6)</w:t>
        </w:r>
      </w:hyperlink>
      <w:r w:rsidDel="00000000" w:rsidR="00000000" w:rsidRPr="00000000">
        <w:rPr>
          <w:rFonts w:ascii="Arial" w:cs="Arial" w:eastAsia="Arial" w:hAnsi="Arial"/>
          <w:rtl w:val="0"/>
        </w:rPr>
        <w:t xml:space="preserve">. Conventional imaging and even FDG PET/CT may have limited sensitivity for detecting peritoneal disease, especially in signet-ring cell and mucinous adenocarcinomas, which often demonstrate low FDG avidity. Several studies have reported higher lesion detectability and improved sensitivity of FAPI PET/CT compared with FDG PET/CT for identifying peritoneal metastases, particularly in gastric cancer. These findings suggest a potential role for FAPI PET/CT in improving the non-invasive assessment of peritoneal disease burden</w:t>
      </w:r>
      <w:hyperlink r:id="rId10">
        <w:r w:rsidDel="00000000" w:rsidR="00000000" w:rsidRPr="00000000">
          <w:rPr>
            <w:rFonts w:ascii="Arial" w:cs="Arial" w:eastAsia="Arial" w:hAnsi="Arial"/>
            <w:rtl w:val="0"/>
          </w:rPr>
          <w:t xml:space="preserve">(7,8)</w:t>
        </w:r>
      </w:hyperlink>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34">
      <w:pPr>
        <w:pStyle w:val="Heading3"/>
        <w:keepNext w:val="0"/>
        <w:keepLines w:val="0"/>
        <w:spacing w:line="276" w:lineRule="auto"/>
        <w:rPr>
          <w:rFonts w:ascii="Arial" w:cs="Arial" w:eastAsia="Arial" w:hAnsi="Arial"/>
          <w:sz w:val="26"/>
          <w:szCs w:val="26"/>
        </w:rPr>
      </w:pPr>
      <w:bookmarkStart w:colFirst="0" w:colLast="0" w:name="_vxx89olqjcc" w:id="1"/>
      <w:bookmarkEnd w:id="1"/>
      <w:r w:rsidDel="00000000" w:rsidR="00000000" w:rsidRPr="00000000">
        <w:rPr>
          <w:rtl w:val="0"/>
        </w:rPr>
      </w:r>
    </w:p>
    <w:p w:rsidR="00000000" w:rsidDel="00000000" w:rsidP="00000000" w:rsidRDefault="00000000" w:rsidRPr="00000000" w14:paraId="00000035">
      <w:pPr>
        <w:pStyle w:val="Heading3"/>
        <w:keepNext w:val="0"/>
        <w:keepLines w:val="0"/>
        <w:spacing w:line="276" w:lineRule="auto"/>
        <w:rPr>
          <w:rFonts w:ascii="Arial" w:cs="Arial" w:eastAsia="Arial" w:hAnsi="Arial"/>
          <w:sz w:val="26"/>
          <w:szCs w:val="26"/>
        </w:rPr>
      </w:pPr>
      <w:bookmarkStart w:colFirst="0" w:colLast="0" w:name="_6pusqkf4kj2l" w:id="2"/>
      <w:bookmarkEnd w:id="2"/>
      <w:r w:rsidDel="00000000" w:rsidR="00000000" w:rsidRPr="00000000">
        <w:rPr>
          <w:rFonts w:ascii="Arial" w:cs="Arial" w:eastAsia="Arial" w:hAnsi="Arial"/>
          <w:sz w:val="26"/>
          <w:szCs w:val="26"/>
          <w:rtl w:val="0"/>
        </w:rPr>
        <w:t xml:space="preserve">Background Review</w:t>
      </w:r>
    </w:p>
    <w:p w:rsidR="00000000" w:rsidDel="00000000" w:rsidP="00000000" w:rsidRDefault="00000000" w:rsidRPr="00000000" w14:paraId="00000036">
      <w:pPr>
        <w:spacing w:after="240" w:before="240" w:line="276" w:lineRule="auto"/>
        <w:rPr>
          <w:rFonts w:ascii="Arial" w:cs="Arial" w:eastAsia="Arial" w:hAnsi="Arial"/>
        </w:rPr>
      </w:pPr>
      <w:r w:rsidDel="00000000" w:rsidR="00000000" w:rsidRPr="00000000">
        <w:rPr>
          <w:rFonts w:ascii="Arial" w:cs="Arial" w:eastAsia="Arial" w:hAnsi="Arial"/>
          <w:rtl w:val="0"/>
        </w:rPr>
        <w:t xml:space="preserve">Peritoneal metastasis is a major determinant of prognosis and treatment strategy in gastric carcinoma. Although contrast-enhanced CT (CECT) remains the standard imaging modality for staging, its sensitivity is limited in detecting small-volume or occult peritoneal disease. Consequently, diagnostic laparoscopy continues to serve as the reference standard for the detection and assessment of peritoneal metastases.Fibroblast activation protein (FAP) is highly expressed in cancer-associated fibroblasts and represents a promising target for molecular imaging. Owing to the prominent stromal and desmoplastic reaction associated with peritoneal metastases, ⁶⁸Ga-FAPI PET/CT has demonstrated encouraging results and may offer superior detection of peritoneal disease, particularly in gastric cancers with low or variable FDG uptake </w:t>
      </w:r>
      <w:hyperlink r:id="rId11">
        <w:r w:rsidDel="00000000" w:rsidR="00000000" w:rsidRPr="00000000">
          <w:rPr>
            <w:rFonts w:ascii="Arial" w:cs="Arial" w:eastAsia="Arial" w:hAnsi="Arial"/>
            <w:rtl w:val="0"/>
          </w:rPr>
          <w:t xml:space="preserve">(2,3,9)</w:t>
        </w:r>
      </w:hyperlink>
      <w:r w:rsidDel="00000000" w:rsidR="00000000" w:rsidRPr="00000000">
        <w:rPr>
          <w:rFonts w:ascii="Arial" w:cs="Arial" w:eastAsia="Arial" w:hAnsi="Arial"/>
          <w:rtl w:val="0"/>
        </w:rPr>
        <w:t xml:space="preserve">.</w:t>
      </w:r>
    </w:p>
    <w:p w:rsidR="00000000" w:rsidDel="00000000" w:rsidP="00000000" w:rsidRDefault="00000000" w:rsidRPr="00000000" w14:paraId="00000037">
      <w:pPr>
        <w:spacing w:after="240" w:before="240" w:lineRule="auto"/>
        <w:rPr>
          <w:rFonts w:ascii="Arial" w:cs="Arial" w:eastAsia="Arial" w:hAnsi="Arial"/>
          <w:b w:val="1"/>
          <w:bCs w:val="1"/>
        </w:rPr>
      </w:pPr>
      <w:r w:rsidDel="00000000" w:rsidR="00000000" w:rsidRPr="00000000">
        <w:rPr>
          <w:rFonts w:ascii="Arial" w:cs="Arial" w:eastAsia="Arial" w:hAnsi="Arial"/>
          <w:rtl w:val="0"/>
        </w:rPr>
        <w:t xml:space="preserve">The Peritoneal Cancer Index (PCI) is a validated scoring system used to quantify the extent of peritoneal disease by assessing lesion size across 13 abdominopelvic regions, with scores ranging from 0 to 39.</w:t>
      </w:r>
      <w:hyperlink r:id="rId12">
        <w:r w:rsidDel="00000000" w:rsidR="00000000" w:rsidRPr="00000000">
          <w:rPr>
            <w:rFonts w:ascii="Arial" w:cs="Arial" w:eastAsia="Arial" w:hAnsi="Arial"/>
            <w:rtl w:val="0"/>
          </w:rPr>
          <w:t xml:space="preserve">(10)</w:t>
        </w:r>
      </w:hyperlink>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38">
      <w:pPr>
        <w:spacing w:after="240" w:before="240" w:lineRule="auto"/>
        <w:rPr>
          <w:rFonts w:ascii="Arial" w:cs="Arial" w:eastAsia="Arial" w:hAnsi="Arial"/>
        </w:rPr>
      </w:pPr>
      <w:r w:rsidDel="00000000" w:rsidR="00000000" w:rsidRPr="00000000">
        <w:rPr>
          <w:rFonts w:ascii="Arial" w:cs="Arial" w:eastAsia="Arial" w:hAnsi="Arial"/>
          <w:rtl w:val="0"/>
        </w:rPr>
        <w:t xml:space="preserve">Only few studies have evaluated the performance of FAPI PET/CT against contrast-enhanced CT (CECT), which remains the imaging modality most commonly used for staging gastric carcinoma in routine clinical practice</w:t>
      </w:r>
      <w:hyperlink r:id="rId13">
        <w:r w:rsidDel="00000000" w:rsidR="00000000" w:rsidRPr="00000000">
          <w:rPr>
            <w:rFonts w:ascii="Arial" w:cs="Arial" w:eastAsia="Arial" w:hAnsi="Arial"/>
            <w:rtl w:val="0"/>
          </w:rPr>
          <w:t xml:space="preserve">(4,14)</w:t>
        </w:r>
      </w:hyperlink>
      <w:r w:rsidDel="00000000" w:rsidR="00000000" w:rsidRPr="00000000">
        <w:rPr>
          <w:rFonts w:ascii="Arial" w:cs="Arial" w:eastAsia="Arial" w:hAnsi="Arial"/>
          <w:rtl w:val="0"/>
        </w:rPr>
        <w:t xml:space="preserve">. In addition, data correlating FAPI PET/CT findings with findings at diagnostic laparoscopy and peritoneal cancer index (PCI) assessment remain limited.</w:t>
      </w:r>
    </w:p>
    <w:p w:rsidR="00000000" w:rsidDel="00000000" w:rsidP="00000000" w:rsidRDefault="00000000" w:rsidRPr="00000000" w14:paraId="00000039">
      <w:pPr>
        <w:spacing w:after="240" w:before="240" w:lineRule="auto"/>
        <w:rPr>
          <w:rFonts w:ascii="Arial" w:cs="Arial" w:eastAsia="Arial" w:hAnsi="Arial"/>
        </w:rPr>
      </w:pPr>
      <w:r w:rsidDel="00000000" w:rsidR="00000000" w:rsidRPr="00000000">
        <w:rPr>
          <w:rFonts w:ascii="Arial" w:cs="Arial" w:eastAsia="Arial" w:hAnsi="Arial"/>
          <w:rtl w:val="0"/>
        </w:rPr>
        <w:t xml:space="preserve">Diagnostic laparoscopy continues to be an essential component of staging in gastric carcinoma because of its ability to detect small-volume and occult peritoneal metastases that may not be evident on imaging. In a recent study evaluating peritoneal metastases from abdominal malignancies, ¹⁸F-FAPI-04 PET/CT demonstrated significantly higher tracer uptake and tumor-to-background ratios compared with ¹⁸F-FDG PET/CT. It was concluded that FAPI PET/CT may provide both superior lesion detection and prognostic information in patients with peritoneal metastases</w:t>
      </w:r>
      <w:hyperlink r:id="rId14">
        <w:r w:rsidDel="00000000" w:rsidR="00000000" w:rsidRPr="00000000">
          <w:rPr>
            <w:rFonts w:ascii="Arial" w:cs="Arial" w:eastAsia="Arial" w:hAnsi="Arial"/>
            <w:rtl w:val="0"/>
          </w:rPr>
          <w:t xml:space="preserve">(11)</w:t>
        </w:r>
      </w:hyperlink>
      <w:r w:rsidDel="00000000" w:rsidR="00000000" w:rsidRPr="00000000">
        <w:rPr>
          <w:rFonts w:ascii="Arial" w:cs="Arial" w:eastAsia="Arial" w:hAnsi="Arial"/>
          <w:rtl w:val="0"/>
        </w:rPr>
        <w:t xml:space="preserve">.</w:t>
      </w:r>
    </w:p>
    <w:p w:rsidR="00000000" w:rsidDel="00000000" w:rsidP="00000000" w:rsidRDefault="00000000" w:rsidRPr="00000000" w14:paraId="0000003A">
      <w:pPr>
        <w:spacing w:after="240" w:before="240" w:lineRule="auto"/>
        <w:rPr>
          <w:rFonts w:ascii="Arial" w:cs="Arial" w:eastAsia="Arial" w:hAnsi="Arial"/>
          <w:sz w:val="26"/>
          <w:szCs w:val="26"/>
        </w:rPr>
      </w:pPr>
      <w:r w:rsidDel="00000000" w:rsidR="00000000" w:rsidRPr="00000000">
        <w:rPr>
          <w:rFonts w:ascii="Arial" w:cs="Arial" w:eastAsia="Arial" w:hAnsi="Arial"/>
          <w:rtl w:val="0"/>
        </w:rPr>
        <w:t xml:space="preserve">In another study involving 57 patients with gastrointestinal malignancies, ⁶⁸Ga-FAPI-04 PET/CT demonstrated significantly higher diagnostic accuracy than CECT for the detection of peritoneal metastases. FAPI PET/CT showed a sensitivity of 97.06% and specificity of 95.65%, compared with 64.71% and 78.26%, respectively, for CECT. Importantly, the additional findings on FAPI PET/CT resulted in changes to the planned treatment strategy in nearly one-third of patients (29.82%), highlighting its potential impact on clinical decision-making and management of peritoneal carcinomatosis</w:t>
      </w:r>
      <w:hyperlink r:id="rId15">
        <w:r w:rsidDel="00000000" w:rsidR="00000000" w:rsidRPr="00000000">
          <w:rPr>
            <w:rFonts w:ascii="Arial" w:cs="Arial" w:eastAsia="Arial" w:hAnsi="Arial"/>
            <w:rtl w:val="0"/>
          </w:rPr>
          <w:t xml:space="preserve">(12)</w:t>
        </w:r>
      </w:hyperlink>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3B">
      <w:pPr>
        <w:pStyle w:val="Heading3"/>
        <w:keepNext w:val="0"/>
        <w:keepLines w:val="0"/>
        <w:spacing w:line="276" w:lineRule="auto"/>
        <w:rPr>
          <w:rFonts w:ascii="Arial" w:cs="Arial" w:eastAsia="Arial" w:hAnsi="Arial"/>
          <w:sz w:val="26"/>
          <w:szCs w:val="26"/>
          <w:highlight w:val="yellow"/>
        </w:rPr>
      </w:pPr>
      <w:bookmarkStart w:colFirst="0" w:colLast="0" w:name="_eyqkdlfaf9fm" w:id="3"/>
      <w:bookmarkEnd w:id="3"/>
      <w:r w:rsidDel="00000000" w:rsidR="00000000" w:rsidRPr="00000000">
        <w:rPr>
          <w:rFonts w:ascii="Arial" w:cs="Arial" w:eastAsia="Arial" w:hAnsi="Arial"/>
          <w:sz w:val="26"/>
          <w:szCs w:val="26"/>
          <w:rtl w:val="0"/>
        </w:rPr>
        <w:t xml:space="preserve">Aims and Objectives </w:t>
      </w:r>
      <w:r w:rsidDel="00000000" w:rsidR="00000000" w:rsidRPr="00000000">
        <w:rPr>
          <w:rtl w:val="0"/>
        </w:rPr>
      </w:r>
    </w:p>
    <w:p w:rsidR="00000000" w:rsidDel="00000000" w:rsidP="00000000" w:rsidRDefault="00000000" w:rsidRPr="00000000" w14:paraId="0000003C">
      <w:pPr>
        <w:pStyle w:val="Heading4"/>
        <w:keepNext w:val="0"/>
        <w:keepLines w:val="0"/>
        <w:spacing w:line="276" w:lineRule="auto"/>
        <w:rPr>
          <w:rFonts w:ascii="Arial" w:cs="Arial" w:eastAsia="Arial" w:hAnsi="Arial"/>
          <w:sz w:val="22"/>
          <w:szCs w:val="22"/>
        </w:rPr>
      </w:pPr>
      <w:bookmarkStart w:colFirst="0" w:colLast="0" w:name="_tcfrmqkkvh5o" w:id="4"/>
      <w:bookmarkEnd w:id="4"/>
      <w:r w:rsidDel="00000000" w:rsidR="00000000" w:rsidRPr="00000000">
        <w:rPr>
          <w:rFonts w:ascii="Arial" w:cs="Arial" w:eastAsia="Arial" w:hAnsi="Arial"/>
          <w:sz w:val="22"/>
          <w:szCs w:val="22"/>
          <w:rtl w:val="0"/>
        </w:rPr>
        <w:t xml:space="preserve">Primary Objectives:</w:t>
      </w:r>
    </w:p>
    <w:p w:rsidR="00000000" w:rsidDel="00000000" w:rsidP="00000000" w:rsidRDefault="00000000" w:rsidRPr="00000000" w14:paraId="0000003D">
      <w:pPr>
        <w:spacing w:line="276" w:lineRule="auto"/>
        <w:rPr/>
      </w:pPr>
      <w:r w:rsidDel="00000000" w:rsidR="00000000" w:rsidRPr="00000000">
        <w:rPr>
          <w:rtl w:val="0"/>
        </w:rPr>
      </w:r>
    </w:p>
    <w:p w:rsidR="00000000" w:rsidDel="00000000" w:rsidP="00000000" w:rsidRDefault="00000000" w:rsidRPr="00000000" w14:paraId="0000003E">
      <w:pPr>
        <w:widowControl w:val="0"/>
        <w:numPr>
          <w:ilvl w:val="0"/>
          <w:numId w:val="3"/>
        </w:numPr>
        <w:spacing w:after="0" w:before="0" w:line="276" w:lineRule="auto"/>
        <w:ind w:left="720" w:right="39" w:hanging="360"/>
        <w:jc w:val="both"/>
        <w:rPr>
          <w:rFonts w:ascii="Arial" w:cs="Arial" w:eastAsia="Arial" w:hAnsi="Arial"/>
        </w:rPr>
      </w:pPr>
      <w:r w:rsidDel="00000000" w:rsidR="00000000" w:rsidRPr="00000000">
        <w:rPr>
          <w:rFonts w:ascii="Arial" w:cs="Arial" w:eastAsia="Arial" w:hAnsi="Arial"/>
          <w:rtl w:val="0"/>
        </w:rPr>
        <w:t xml:space="preserve">To compare the diagnostic performance of FAPI PET-CT, CECT, and diagnostic laparoscopy in the detection of peritoneal metastases in patients with newly diagnosed gastric carcinoma.</w:t>
      </w:r>
    </w:p>
    <w:p w:rsidR="00000000" w:rsidDel="00000000" w:rsidP="00000000" w:rsidRDefault="00000000" w:rsidRPr="00000000" w14:paraId="0000003F">
      <w:pPr>
        <w:widowControl w:val="0"/>
        <w:numPr>
          <w:ilvl w:val="0"/>
          <w:numId w:val="3"/>
        </w:numPr>
        <w:spacing w:after="0" w:before="0" w:line="276" w:lineRule="auto"/>
        <w:ind w:left="720" w:right="39" w:hanging="360"/>
        <w:jc w:val="both"/>
        <w:rPr>
          <w:rFonts w:ascii="Arial" w:cs="Arial" w:eastAsia="Arial" w:hAnsi="Arial"/>
        </w:rPr>
      </w:pPr>
      <w:r w:rsidDel="00000000" w:rsidR="00000000" w:rsidRPr="00000000">
        <w:rPr>
          <w:rFonts w:ascii="Arial" w:cs="Arial" w:eastAsia="Arial" w:hAnsi="Arial"/>
          <w:rtl w:val="0"/>
        </w:rPr>
        <w:t xml:space="preserve">To compare the PCI score detected by FAPI PET-CT, CECT, and diagnostic laparoscopy.</w:t>
      </w:r>
    </w:p>
    <w:p w:rsidR="00000000" w:rsidDel="00000000" w:rsidP="00000000" w:rsidRDefault="00000000" w:rsidRPr="00000000" w14:paraId="00000040">
      <w:pPr>
        <w:pStyle w:val="Heading4"/>
        <w:keepNext w:val="0"/>
        <w:keepLines w:val="0"/>
        <w:spacing w:line="276" w:lineRule="auto"/>
        <w:rPr>
          <w:rFonts w:ascii="Arial" w:cs="Arial" w:eastAsia="Arial" w:hAnsi="Arial"/>
          <w:sz w:val="22"/>
          <w:szCs w:val="22"/>
        </w:rPr>
      </w:pPr>
      <w:bookmarkStart w:colFirst="0" w:colLast="0" w:name="_7omxodf2g7v2" w:id="5"/>
      <w:bookmarkEnd w:id="5"/>
      <w:r w:rsidDel="00000000" w:rsidR="00000000" w:rsidRPr="00000000">
        <w:rPr>
          <w:rFonts w:ascii="Arial" w:cs="Arial" w:eastAsia="Arial" w:hAnsi="Arial"/>
          <w:sz w:val="22"/>
          <w:szCs w:val="22"/>
          <w:rtl w:val="0"/>
        </w:rPr>
        <w:t xml:space="preserve">Secondary Objectives:</w:t>
      </w:r>
    </w:p>
    <w:p w:rsidR="00000000" w:rsidDel="00000000" w:rsidP="00000000" w:rsidRDefault="00000000" w:rsidRPr="00000000" w14:paraId="00000041">
      <w:pPr>
        <w:spacing w:line="276" w:lineRule="auto"/>
        <w:rPr/>
      </w:pPr>
      <w:r w:rsidDel="00000000" w:rsidR="00000000" w:rsidRPr="00000000">
        <w:rPr>
          <w:rtl w:val="0"/>
        </w:rPr>
      </w:r>
    </w:p>
    <w:p w:rsidR="00000000" w:rsidDel="00000000" w:rsidP="00000000" w:rsidRDefault="00000000" w:rsidRPr="00000000" w14:paraId="00000042">
      <w:pPr>
        <w:widowControl w:val="0"/>
        <w:numPr>
          <w:ilvl w:val="0"/>
          <w:numId w:val="3"/>
        </w:numPr>
        <w:spacing w:after="0" w:before="0" w:line="276" w:lineRule="auto"/>
        <w:ind w:left="720" w:right="39" w:hanging="360"/>
        <w:jc w:val="both"/>
        <w:rPr>
          <w:rFonts w:ascii="Arial" w:cs="Arial" w:eastAsia="Arial" w:hAnsi="Arial"/>
        </w:rPr>
      </w:pPr>
      <w:r w:rsidDel="00000000" w:rsidR="00000000" w:rsidRPr="00000000">
        <w:rPr>
          <w:rFonts w:ascii="Arial" w:cs="Arial" w:eastAsia="Arial" w:hAnsi="Arial"/>
          <w:rtl w:val="0"/>
        </w:rPr>
        <w:t xml:space="preserve">To evaluate the impact of FAPI PET-CT in changing the management in newly diagnosed cases of gastric carcinoma.</w:t>
      </w:r>
    </w:p>
    <w:p w:rsidR="00000000" w:rsidDel="00000000" w:rsidP="00000000" w:rsidRDefault="00000000" w:rsidRPr="00000000" w14:paraId="00000043">
      <w:pPr>
        <w:pStyle w:val="Heading3"/>
        <w:keepNext w:val="0"/>
        <w:keepLines w:val="0"/>
        <w:spacing w:line="276" w:lineRule="auto"/>
        <w:rPr>
          <w:rFonts w:ascii="Arial" w:cs="Arial" w:eastAsia="Arial" w:hAnsi="Arial"/>
          <w:sz w:val="26"/>
          <w:szCs w:val="26"/>
        </w:rPr>
      </w:pPr>
      <w:bookmarkStart w:colFirst="0" w:colLast="0" w:name="_ly1ufyauvgxe" w:id="6"/>
      <w:bookmarkEnd w:id="6"/>
      <w:r w:rsidDel="00000000" w:rsidR="00000000" w:rsidRPr="00000000">
        <w:rPr>
          <w:rFonts w:ascii="Arial" w:cs="Arial" w:eastAsia="Arial" w:hAnsi="Arial"/>
          <w:sz w:val="26"/>
          <w:szCs w:val="26"/>
          <w:rtl w:val="0"/>
        </w:rPr>
        <w:t xml:space="preserve">Materials and Methods</w:t>
      </w:r>
    </w:p>
    <w:p w:rsidR="00000000" w:rsidDel="00000000" w:rsidP="00000000" w:rsidRDefault="00000000" w:rsidRPr="00000000" w14:paraId="00000044">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Study Design:</w:t>
      </w:r>
    </w:p>
    <w:p w:rsidR="00000000" w:rsidDel="00000000" w:rsidP="00000000" w:rsidRDefault="00000000" w:rsidRPr="00000000" w14:paraId="00000045">
      <w:pPr>
        <w:spacing w:after="240" w:before="240" w:line="276" w:lineRule="auto"/>
        <w:rPr>
          <w:rFonts w:ascii="Arial" w:cs="Arial" w:eastAsia="Arial" w:hAnsi="Arial"/>
        </w:rPr>
      </w:pPr>
      <w:r w:rsidDel="00000000" w:rsidR="00000000" w:rsidRPr="00000000">
        <w:rPr>
          <w:rFonts w:ascii="Arial" w:cs="Arial" w:eastAsia="Arial" w:hAnsi="Arial"/>
          <w:rtl w:val="0"/>
        </w:rPr>
        <w:t xml:space="preserve">This is a prospective, sponsored, single-center interventional study.</w:t>
      </w:r>
    </w:p>
    <w:p w:rsidR="00000000" w:rsidDel="00000000" w:rsidP="00000000" w:rsidRDefault="00000000" w:rsidRPr="00000000" w14:paraId="00000046">
      <w:pPr>
        <w:spacing w:after="240" w:before="24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Place and time of study: </w:t>
      </w:r>
    </w:p>
    <w:p w:rsidR="00000000" w:rsidDel="00000000" w:rsidP="00000000" w:rsidRDefault="00000000" w:rsidRPr="00000000" w14:paraId="00000047">
      <w:pPr>
        <w:spacing w:after="240" w:before="240" w:line="276" w:lineRule="auto"/>
        <w:rPr>
          <w:rFonts w:ascii="Arial" w:cs="Arial" w:eastAsia="Arial" w:hAnsi="Arial"/>
        </w:rPr>
      </w:pPr>
      <w:r w:rsidDel="00000000" w:rsidR="00000000" w:rsidRPr="00000000">
        <w:rPr>
          <w:rFonts w:ascii="Arial" w:cs="Arial" w:eastAsia="Arial" w:hAnsi="Arial"/>
          <w:rtl w:val="0"/>
        </w:rPr>
        <w:t xml:space="preserve">The study will be conducted at Tata Medical Center, Kolkata, in the department of Nuclear Medicine with assistance from the department of Gastrointestinal and Hepatobiliary (GI-HPB) Surgery and the department of Radiology</w:t>
      </w:r>
    </w:p>
    <w:p w:rsidR="00000000" w:rsidDel="00000000" w:rsidP="00000000" w:rsidRDefault="00000000" w:rsidRPr="00000000" w14:paraId="00000048">
      <w:pPr>
        <w:spacing w:after="240" w:before="240" w:line="276" w:lineRule="auto"/>
        <w:rPr>
          <w:rFonts w:ascii="Arial" w:cs="Arial" w:eastAsia="Arial" w:hAnsi="Arial"/>
        </w:rPr>
      </w:pPr>
      <w:r w:rsidDel="00000000" w:rsidR="00000000" w:rsidRPr="00000000">
        <w:rPr>
          <w:rFonts w:ascii="Arial" w:cs="Arial" w:eastAsia="Arial" w:hAnsi="Arial"/>
          <w:rtl w:val="0"/>
        </w:rPr>
        <w:t xml:space="preserve">The expected duration of this study is 1 year between July 2026 to June 2027.</w:t>
      </w:r>
    </w:p>
    <w:p w:rsidR="00000000" w:rsidDel="00000000" w:rsidP="00000000" w:rsidRDefault="00000000" w:rsidRPr="00000000" w14:paraId="00000049">
      <w:pPr>
        <w:spacing w:after="240" w:before="240" w:line="276" w:lineRule="auto"/>
        <w:rPr>
          <w:rFonts w:ascii="Arial" w:cs="Arial" w:eastAsia="Arial" w:hAnsi="Arial"/>
          <w:b w:val="1"/>
          <w:bCs w:val="1"/>
        </w:rPr>
      </w:pPr>
      <w:r w:rsidDel="00000000" w:rsidR="00000000" w:rsidRPr="00000000">
        <w:rPr>
          <w:rFonts w:ascii="Arial" w:cs="Arial" w:eastAsia="Arial" w:hAnsi="Arial"/>
          <w:rtl w:val="0"/>
        </w:rPr>
        <w:t xml:space="preserve">It shall be conducted upon receiving approval from the Institutional Review Board (IRB). Patient confidentiality will be maintained with compliance to Good Clinical Practice (GCP) guidelines.</w:t>
      </w:r>
      <w:r w:rsidDel="00000000" w:rsidR="00000000" w:rsidRPr="00000000">
        <w:rPr>
          <w:rtl w:val="0"/>
        </w:rPr>
      </w:r>
    </w:p>
    <w:p w:rsidR="00000000" w:rsidDel="00000000" w:rsidP="00000000" w:rsidRDefault="00000000" w:rsidRPr="00000000" w14:paraId="0000004A">
      <w:pPr>
        <w:spacing w:after="240" w:before="24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Patient population:</w:t>
      </w:r>
    </w:p>
    <w:p w:rsidR="00000000" w:rsidDel="00000000" w:rsidP="00000000" w:rsidRDefault="00000000" w:rsidRPr="00000000" w14:paraId="0000004B">
      <w:pPr>
        <w:spacing w:after="240" w:before="240" w:lineRule="auto"/>
        <w:rPr>
          <w:rFonts w:ascii="Arial" w:cs="Arial" w:eastAsia="Arial" w:hAnsi="Arial"/>
        </w:rPr>
      </w:pPr>
      <w:r w:rsidDel="00000000" w:rsidR="00000000" w:rsidRPr="00000000">
        <w:rPr>
          <w:rFonts w:ascii="Arial" w:cs="Arial" w:eastAsia="Arial" w:hAnsi="Arial"/>
          <w:rtl w:val="0"/>
        </w:rPr>
        <w:t xml:space="preserve">This study will evaluate patients with newly diagnosed gastric carcinoma who after fulfilling the inclusion criteria, will undergo FAPI PET-CT, contrast-enhanced computed tomography (CECT) of the whole abdomen, and diagnostic laparoscopy for initial staging and assessment of peritoneal metastases. Only treatment-naïve patients with newly diagnosed gastric adenocarcinoma will be included in the study.</w:t>
      </w:r>
    </w:p>
    <w:p w:rsidR="00000000" w:rsidDel="00000000" w:rsidP="00000000" w:rsidRDefault="00000000" w:rsidRPr="00000000" w14:paraId="0000004C">
      <w:pPr>
        <w:spacing w:after="240" w:before="240" w:lineRule="auto"/>
        <w:rPr>
          <w:rFonts w:ascii="Arial" w:cs="Arial" w:eastAsia="Arial" w:hAnsi="Arial"/>
        </w:rPr>
      </w:pPr>
      <w:r w:rsidDel="00000000" w:rsidR="00000000" w:rsidRPr="00000000">
        <w:rPr>
          <w:rFonts w:ascii="Arial" w:cs="Arial" w:eastAsia="Arial" w:hAnsi="Arial"/>
          <w:rtl w:val="0"/>
        </w:rPr>
        <w:t xml:space="preserve">Patients will be recruited prospectively. Enrolment will be on a rolling basis. The anticipated study completion date is at the end of one year, to ensure adequate data collection and assessment of treatment decisions influenced by imaging findings.</w:t>
      </w:r>
    </w:p>
    <w:p w:rsidR="00000000" w:rsidDel="00000000" w:rsidP="00000000" w:rsidRDefault="00000000" w:rsidRPr="00000000" w14:paraId="0000004D">
      <w:pPr>
        <w:spacing w:after="240" w:before="24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Sample size calculation:</w:t>
      </w:r>
    </w:p>
    <w:p w:rsidR="00000000" w:rsidDel="00000000" w:rsidP="00000000" w:rsidRDefault="00000000" w:rsidRPr="00000000" w14:paraId="0000004E">
      <w:pPr>
        <w:spacing w:after="240" w:before="240" w:line="276" w:lineRule="auto"/>
        <w:rPr>
          <w:rFonts w:ascii="Arial" w:cs="Arial" w:eastAsia="Arial" w:hAnsi="Arial"/>
        </w:rPr>
      </w:pPr>
      <w:r w:rsidDel="00000000" w:rsidR="00000000" w:rsidRPr="00000000">
        <w:rPr>
          <w:rFonts w:ascii="Arial" w:cs="Arial" w:eastAsia="Arial" w:hAnsi="Arial"/>
          <w:rtl w:val="0"/>
        </w:rPr>
        <w:t xml:space="preserve">Since this is a pilot study with a tentative grant of 2,00,000.00 Indian Rupees (TWO LAKH INDIAN RUPEES), considering the breakdown given below:</w:t>
      </w:r>
      <w:r w:rsidDel="00000000" w:rsidR="00000000" w:rsidRPr="00000000">
        <w:rPr>
          <w:rtl w:val="0"/>
        </w:rPr>
      </w:r>
    </w:p>
    <w:p w:rsidR="00000000" w:rsidDel="00000000" w:rsidP="00000000" w:rsidRDefault="00000000" w:rsidRPr="00000000" w14:paraId="0000004F">
      <w:pPr>
        <w:widowControl w:val="0"/>
        <w:numPr>
          <w:ilvl w:val="0"/>
          <w:numId w:val="1"/>
        </w:numPr>
        <w:spacing w:after="0" w:afterAutospacing="0" w:before="24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Cost of 68Ga radioisotope per patient: 4,000.00 Indian Rupees</w:t>
      </w:r>
    </w:p>
    <w:p w:rsidR="00000000" w:rsidDel="00000000" w:rsidP="00000000" w:rsidRDefault="00000000" w:rsidRPr="00000000" w14:paraId="00000050">
      <w:pPr>
        <w:widowControl w:val="0"/>
        <w:numPr>
          <w:ilvl w:val="0"/>
          <w:numId w:val="1"/>
        </w:numPr>
        <w:spacing w:after="0" w:afterAutospacing="0" w:before="0" w:beforeAutospacing="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Cost of 68Ga reagent per patient: 5,500.00 Indian Rupees</w:t>
      </w:r>
      <w:r w:rsidDel="00000000" w:rsidR="00000000" w:rsidRPr="00000000">
        <w:rPr>
          <w:rtl w:val="0"/>
        </w:rPr>
      </w:r>
    </w:p>
    <w:p w:rsidR="00000000" w:rsidDel="00000000" w:rsidP="00000000" w:rsidRDefault="00000000" w:rsidRPr="00000000" w14:paraId="00000051">
      <w:pPr>
        <w:widowControl w:val="0"/>
        <w:numPr>
          <w:ilvl w:val="0"/>
          <w:numId w:val="1"/>
        </w:numPr>
        <w:spacing w:after="0" w:afterAutospacing="0" w:before="0" w:beforeAutospacing="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Cost of consumables per patient: 500.00 Indian Rupees</w:t>
      </w:r>
      <w:r w:rsidDel="00000000" w:rsidR="00000000" w:rsidRPr="00000000">
        <w:rPr>
          <w:rtl w:val="0"/>
        </w:rPr>
      </w:r>
    </w:p>
    <w:p w:rsidR="00000000" w:rsidDel="00000000" w:rsidP="00000000" w:rsidRDefault="00000000" w:rsidRPr="00000000" w14:paraId="00000052">
      <w:pPr>
        <w:widowControl w:val="0"/>
        <w:numPr>
          <w:ilvl w:val="0"/>
          <w:numId w:val="1"/>
        </w:numPr>
        <w:spacing w:after="0" w:before="0" w:beforeAutospacing="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Total cost per patient: 10,000.00 Indian Rupees</w:t>
      </w:r>
      <w:r w:rsidDel="00000000" w:rsidR="00000000" w:rsidRPr="00000000">
        <w:rPr>
          <w:rtl w:val="0"/>
        </w:rPr>
      </w:r>
    </w:p>
    <w:p w:rsidR="00000000" w:rsidDel="00000000" w:rsidP="00000000" w:rsidRDefault="00000000" w:rsidRPr="00000000" w14:paraId="00000053">
      <w:pPr>
        <w:widowControl w:val="0"/>
        <w:spacing w:after="0" w:before="240" w:line="276" w:lineRule="auto"/>
        <w:rPr>
          <w:rFonts w:ascii="Arial" w:cs="Arial" w:eastAsia="Arial" w:hAnsi="Arial"/>
        </w:rPr>
      </w:pPr>
      <w:r w:rsidDel="00000000" w:rsidR="00000000" w:rsidRPr="00000000">
        <w:rPr>
          <w:rFonts w:ascii="Arial" w:cs="Arial" w:eastAsia="Arial" w:hAnsi="Arial"/>
          <w:rtl w:val="0"/>
        </w:rPr>
        <w:t xml:space="preserve">a total of </w:t>
      </w:r>
      <w:r w:rsidDel="00000000" w:rsidR="00000000" w:rsidRPr="00000000">
        <w:rPr>
          <w:rFonts w:ascii="Arial" w:cs="Arial" w:eastAsia="Arial" w:hAnsi="Arial"/>
          <w:rtl w:val="0"/>
        </w:rPr>
        <w:t xml:space="preserve">20 patients can be feasibly scanned.</w:t>
      </w:r>
      <w:r w:rsidDel="00000000" w:rsidR="00000000" w:rsidRPr="00000000">
        <w:rPr>
          <w:rtl w:val="0"/>
        </w:rPr>
      </w:r>
    </w:p>
    <w:p w:rsidR="00000000" w:rsidDel="00000000" w:rsidP="00000000" w:rsidRDefault="00000000" w:rsidRPr="00000000" w14:paraId="00000054">
      <w:pPr>
        <w:spacing w:after="240" w:before="240"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55">
      <w:pPr>
        <w:spacing w:after="240" w:before="24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Inclusion Criteria:</w:t>
      </w:r>
    </w:p>
    <w:p w:rsidR="00000000" w:rsidDel="00000000" w:rsidP="00000000" w:rsidRDefault="00000000" w:rsidRPr="00000000" w14:paraId="00000056">
      <w:pPr>
        <w:numPr>
          <w:ilvl w:val="0"/>
          <w:numId w:val="4"/>
        </w:numPr>
        <w:spacing w:after="0" w:before="240" w:line="276" w:lineRule="auto"/>
        <w:ind w:left="720" w:hanging="360"/>
        <w:rPr>
          <w:rFonts w:ascii="Arial" w:cs="Arial" w:eastAsia="Arial" w:hAnsi="Arial"/>
        </w:rPr>
      </w:pPr>
      <w:r w:rsidDel="00000000" w:rsidR="00000000" w:rsidRPr="00000000">
        <w:rPr>
          <w:rFonts w:ascii="Arial" w:cs="Arial" w:eastAsia="Arial" w:hAnsi="Arial"/>
          <w:rtl w:val="0"/>
        </w:rPr>
        <w:t xml:space="preserve">Consenting patients who were recently diagnosed with primary gastric adenocarcinoma with clinically and radiologically suspected peritoneal carcinomatosis</w:t>
      </w:r>
    </w:p>
    <w:p w:rsidR="00000000" w:rsidDel="00000000" w:rsidP="00000000" w:rsidRDefault="00000000" w:rsidRPr="00000000" w14:paraId="00000057">
      <w:pPr>
        <w:numPr>
          <w:ilvl w:val="0"/>
          <w:numId w:val="4"/>
        </w:numPr>
        <w:spacing w:after="0" w:before="0" w:line="276" w:lineRule="auto"/>
        <w:ind w:left="720" w:hanging="360"/>
        <w:rPr>
          <w:rFonts w:ascii="Arial" w:cs="Arial" w:eastAsia="Arial" w:hAnsi="Arial"/>
        </w:rPr>
      </w:pPr>
      <w:r w:rsidDel="00000000" w:rsidR="00000000" w:rsidRPr="00000000">
        <w:rPr>
          <w:rFonts w:ascii="Arial" w:cs="Arial" w:eastAsia="Arial" w:hAnsi="Arial"/>
          <w:rtl w:val="0"/>
        </w:rPr>
        <w:t xml:space="preserve">Age &gt; 18 years</w:t>
      </w:r>
    </w:p>
    <w:p w:rsidR="00000000" w:rsidDel="00000000" w:rsidP="00000000" w:rsidRDefault="00000000" w:rsidRPr="00000000" w14:paraId="00000058">
      <w:pPr>
        <w:numPr>
          <w:ilvl w:val="0"/>
          <w:numId w:val="4"/>
        </w:numPr>
        <w:spacing w:after="240" w:before="0" w:line="276" w:lineRule="auto"/>
        <w:ind w:left="720" w:hanging="360"/>
        <w:rPr>
          <w:rFonts w:ascii="Arial" w:cs="Arial" w:eastAsia="Arial" w:hAnsi="Arial"/>
        </w:rPr>
      </w:pPr>
      <w:r w:rsidDel="00000000" w:rsidR="00000000" w:rsidRPr="00000000">
        <w:rPr>
          <w:rFonts w:ascii="Arial" w:cs="Arial" w:eastAsia="Arial" w:hAnsi="Arial"/>
          <w:rtl w:val="0"/>
        </w:rPr>
        <w:t xml:space="preserve">Having normal renal function with creatinine clearance &gt; 50mL/min</w:t>
      </w:r>
    </w:p>
    <w:p w:rsidR="00000000" w:rsidDel="00000000" w:rsidP="00000000" w:rsidRDefault="00000000" w:rsidRPr="00000000" w14:paraId="00000059">
      <w:pPr>
        <w:spacing w:after="240" w:before="24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Exclusion Criteria:</w:t>
      </w:r>
    </w:p>
    <w:p w:rsidR="00000000" w:rsidDel="00000000" w:rsidP="00000000" w:rsidRDefault="00000000" w:rsidRPr="00000000" w14:paraId="0000005A">
      <w:pPr>
        <w:numPr>
          <w:ilvl w:val="0"/>
          <w:numId w:val="2"/>
        </w:numPr>
        <w:spacing w:after="0" w:before="240" w:line="276" w:lineRule="auto"/>
        <w:ind w:left="720" w:hanging="360"/>
        <w:rPr>
          <w:rFonts w:ascii="Arial" w:cs="Arial" w:eastAsia="Arial" w:hAnsi="Arial"/>
        </w:rPr>
      </w:pPr>
      <w:r w:rsidDel="00000000" w:rsidR="00000000" w:rsidRPr="00000000">
        <w:rPr>
          <w:rFonts w:ascii="Arial" w:cs="Arial" w:eastAsia="Arial" w:hAnsi="Arial"/>
          <w:rtl w:val="0"/>
        </w:rPr>
        <w:t xml:space="preserve">Pregnant or lactating women.</w:t>
      </w:r>
    </w:p>
    <w:p w:rsidR="00000000" w:rsidDel="00000000" w:rsidP="00000000" w:rsidRDefault="00000000" w:rsidRPr="00000000" w14:paraId="0000005B">
      <w:pPr>
        <w:numPr>
          <w:ilvl w:val="0"/>
          <w:numId w:val="2"/>
        </w:numPr>
        <w:spacing w:after="0" w:before="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Patients who will not undergo diagnostic laparoscopy after CECT</w:t>
      </w:r>
    </w:p>
    <w:p w:rsidR="00000000" w:rsidDel="00000000" w:rsidP="00000000" w:rsidRDefault="00000000" w:rsidRPr="00000000" w14:paraId="0000005C">
      <w:pPr>
        <w:numPr>
          <w:ilvl w:val="0"/>
          <w:numId w:val="2"/>
        </w:numPr>
        <w:spacing w:after="0" w:before="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Patients with serious co-morbidities or active infectious/ inflammatory disease</w:t>
      </w:r>
    </w:p>
    <w:p w:rsidR="00000000" w:rsidDel="00000000" w:rsidP="00000000" w:rsidRDefault="00000000" w:rsidRPr="00000000" w14:paraId="0000005D">
      <w:pPr>
        <w:numPr>
          <w:ilvl w:val="0"/>
          <w:numId w:val="2"/>
        </w:numPr>
        <w:spacing w:after="0" w:before="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Patients with known bleeding disorder</w:t>
      </w:r>
    </w:p>
    <w:p w:rsidR="00000000" w:rsidDel="00000000" w:rsidP="00000000" w:rsidRDefault="00000000" w:rsidRPr="00000000" w14:paraId="0000005E">
      <w:pPr>
        <w:numPr>
          <w:ilvl w:val="0"/>
          <w:numId w:val="2"/>
        </w:numPr>
        <w:spacing w:after="240" w:before="0" w:line="276" w:lineRule="auto"/>
        <w:ind w:left="720" w:hanging="360"/>
        <w:rPr>
          <w:rFonts w:ascii="Arial" w:cs="Arial" w:eastAsia="Arial" w:hAnsi="Arial"/>
        </w:rPr>
      </w:pPr>
      <w:r w:rsidDel="00000000" w:rsidR="00000000" w:rsidRPr="00000000">
        <w:rPr>
          <w:rFonts w:ascii="Arial" w:cs="Arial" w:eastAsia="Arial" w:hAnsi="Arial"/>
          <w:rtl w:val="0"/>
        </w:rPr>
        <w:t xml:space="preserve">Patients with any other histopathology apart from gastric adenocarcinoma</w:t>
      </w:r>
    </w:p>
    <w:p w:rsidR="00000000" w:rsidDel="00000000" w:rsidP="00000000" w:rsidRDefault="00000000" w:rsidRPr="00000000" w14:paraId="0000005F">
      <w:pPr>
        <w:pStyle w:val="Heading4"/>
        <w:keepNext w:val="0"/>
        <w:keepLines w:val="0"/>
        <w:spacing w:line="276" w:lineRule="auto"/>
        <w:rPr>
          <w:rFonts w:ascii="Arial" w:cs="Arial" w:eastAsia="Arial" w:hAnsi="Arial"/>
          <w:sz w:val="22"/>
          <w:szCs w:val="22"/>
        </w:rPr>
      </w:pPr>
      <w:bookmarkStart w:colFirst="0" w:colLast="0" w:name="_3zhp52do58fi" w:id="7"/>
      <w:bookmarkEnd w:id="7"/>
      <w:r w:rsidDel="00000000" w:rsidR="00000000" w:rsidRPr="00000000">
        <w:rPr>
          <w:rFonts w:ascii="Arial" w:cs="Arial" w:eastAsia="Arial" w:hAnsi="Arial"/>
          <w:sz w:val="22"/>
          <w:szCs w:val="22"/>
          <w:rtl w:val="0"/>
        </w:rPr>
        <w:t xml:space="preserve">Methodology</w:t>
      </w:r>
    </w:p>
    <w:p w:rsidR="00000000" w:rsidDel="00000000" w:rsidP="00000000" w:rsidRDefault="00000000" w:rsidRPr="00000000" w14:paraId="00000060">
      <w:pPr>
        <w:widowControl w:val="0"/>
        <w:numPr>
          <w:ilvl w:val="0"/>
          <w:numId w:val="5"/>
        </w:numPr>
        <w:spacing w:after="0" w:line="276" w:lineRule="auto"/>
        <w:ind w:left="720" w:right="36" w:hanging="360"/>
        <w:rPr>
          <w:rFonts w:ascii="Arial" w:cs="Arial" w:eastAsia="Arial" w:hAnsi="Arial"/>
        </w:rPr>
      </w:pPr>
      <w:r w:rsidDel="00000000" w:rsidR="00000000" w:rsidRPr="00000000">
        <w:rPr>
          <w:rFonts w:ascii="Arial" w:cs="Arial" w:eastAsia="Arial" w:hAnsi="Arial"/>
          <w:rtl w:val="0"/>
        </w:rPr>
        <w:t xml:space="preserve">All consenting patients newly diagnosed with pathologically confirmed gastric adenocarcinoma with suspected clinical peritoneal involvement will be enrolled in the study.</w:t>
      </w:r>
    </w:p>
    <w:p w:rsidR="00000000" w:rsidDel="00000000" w:rsidP="00000000" w:rsidRDefault="00000000" w:rsidRPr="00000000" w14:paraId="00000061">
      <w:pPr>
        <w:widowControl w:val="0"/>
        <w:numPr>
          <w:ilvl w:val="0"/>
          <w:numId w:val="5"/>
        </w:numPr>
        <w:spacing w:after="0" w:lineRule="auto"/>
        <w:ind w:left="720" w:right="36" w:hanging="360"/>
        <w:rPr>
          <w:rFonts w:ascii="Arial" w:cs="Arial" w:eastAsia="Arial" w:hAnsi="Arial"/>
        </w:rPr>
      </w:pPr>
      <w:r w:rsidDel="00000000" w:rsidR="00000000" w:rsidRPr="00000000">
        <w:rPr>
          <w:rFonts w:ascii="Arial" w:cs="Arial" w:eastAsia="Arial" w:hAnsi="Arial"/>
          <w:rtl w:val="0"/>
        </w:rPr>
        <w:t xml:space="preserve">CECT Thorax and Whole Abdomen will be performed according to the institutional protocol.</w:t>
      </w:r>
    </w:p>
    <w:p w:rsidR="00000000" w:rsidDel="00000000" w:rsidP="00000000" w:rsidRDefault="00000000" w:rsidRPr="00000000" w14:paraId="00000062">
      <w:pPr>
        <w:widowControl w:val="0"/>
        <w:numPr>
          <w:ilvl w:val="0"/>
          <w:numId w:val="5"/>
        </w:numPr>
        <w:spacing w:after="0" w:lineRule="auto"/>
        <w:ind w:left="720" w:right="36" w:hanging="360"/>
        <w:rPr>
          <w:rFonts w:ascii="Arial" w:cs="Arial" w:eastAsia="Arial" w:hAnsi="Arial"/>
        </w:rPr>
      </w:pPr>
      <w:r w:rsidDel="00000000" w:rsidR="00000000" w:rsidRPr="00000000">
        <w:rPr>
          <w:rFonts w:ascii="Arial" w:cs="Arial" w:eastAsia="Arial" w:hAnsi="Arial"/>
          <w:rtl w:val="0"/>
        </w:rPr>
        <w:t xml:space="preserve">68Ga FAPI PET-CT will be performed within 7 days of CECT.</w:t>
      </w:r>
    </w:p>
    <w:p w:rsidR="00000000" w:rsidDel="00000000" w:rsidP="00000000" w:rsidRDefault="00000000" w:rsidRPr="00000000" w14:paraId="00000063">
      <w:pPr>
        <w:widowControl w:val="0"/>
        <w:numPr>
          <w:ilvl w:val="0"/>
          <w:numId w:val="5"/>
        </w:numPr>
        <w:spacing w:after="0" w:lineRule="auto"/>
        <w:ind w:left="720" w:right="36" w:hanging="360"/>
        <w:rPr>
          <w:rFonts w:ascii="Arial" w:cs="Arial" w:eastAsia="Arial" w:hAnsi="Arial"/>
          <w:u w:val="none"/>
        </w:rPr>
      </w:pPr>
      <w:r w:rsidDel="00000000" w:rsidR="00000000" w:rsidRPr="00000000">
        <w:rPr>
          <w:rFonts w:ascii="Arial" w:cs="Arial" w:eastAsia="Arial" w:hAnsi="Arial"/>
          <w:rtl w:val="0"/>
        </w:rPr>
        <w:t xml:space="preserve">Following this the patient will undergo diagnostic laparoscopy for the confirmation of the diagnosis.</w:t>
      </w:r>
    </w:p>
    <w:p w:rsidR="00000000" w:rsidDel="00000000" w:rsidP="00000000" w:rsidRDefault="00000000" w:rsidRPr="00000000" w14:paraId="00000064">
      <w:pPr>
        <w:widowControl w:val="0"/>
        <w:numPr>
          <w:ilvl w:val="0"/>
          <w:numId w:val="5"/>
        </w:numPr>
        <w:spacing w:after="0" w:line="276" w:lineRule="auto"/>
        <w:ind w:left="720" w:right="36" w:hanging="360"/>
        <w:rPr>
          <w:rFonts w:ascii="Arial" w:cs="Arial" w:eastAsia="Arial" w:hAnsi="Arial"/>
        </w:rPr>
      </w:pPr>
      <w:r w:rsidDel="00000000" w:rsidR="00000000" w:rsidRPr="00000000">
        <w:rPr>
          <w:rFonts w:ascii="Arial" w:cs="Arial" w:eastAsia="Arial" w:hAnsi="Arial"/>
          <w:rtl w:val="0"/>
        </w:rPr>
        <w:t xml:space="preserve">For hypothetical pre-FAPI PET-CT / CECT treatment : clinical parameters such as age, tumor marker level, clinical performance status, histopathology result after endoscopy or surgery will be noted.</w:t>
      </w:r>
    </w:p>
    <w:p w:rsidR="00000000" w:rsidDel="00000000" w:rsidP="00000000" w:rsidRDefault="00000000" w:rsidRPr="00000000" w14:paraId="00000065">
      <w:pPr>
        <w:widowControl w:val="0"/>
        <w:numPr>
          <w:ilvl w:val="0"/>
          <w:numId w:val="5"/>
        </w:numPr>
        <w:spacing w:after="0" w:line="276" w:lineRule="auto"/>
        <w:ind w:left="720" w:right="36" w:hanging="360"/>
        <w:rPr>
          <w:rFonts w:ascii="Arial" w:cs="Arial" w:eastAsia="Arial" w:hAnsi="Arial"/>
        </w:rPr>
      </w:pPr>
      <w:r w:rsidDel="00000000" w:rsidR="00000000" w:rsidRPr="00000000">
        <w:rPr>
          <w:rFonts w:ascii="Arial" w:cs="Arial" w:eastAsia="Arial" w:hAnsi="Arial"/>
          <w:rtl w:val="0"/>
        </w:rPr>
        <w:t xml:space="preserve">PET-CT scans will be reviewed by two nuclear medicine physicians with 10 and 15 years of experience, respectively.</w:t>
      </w:r>
    </w:p>
    <w:p w:rsidR="00000000" w:rsidDel="00000000" w:rsidP="00000000" w:rsidRDefault="00000000" w:rsidRPr="00000000" w14:paraId="00000066">
      <w:pPr>
        <w:widowControl w:val="0"/>
        <w:numPr>
          <w:ilvl w:val="0"/>
          <w:numId w:val="5"/>
        </w:numPr>
        <w:spacing w:after="0" w:line="276" w:lineRule="auto"/>
        <w:ind w:left="720" w:right="36" w:hanging="360"/>
        <w:rPr>
          <w:rFonts w:ascii="Arial" w:cs="Arial" w:eastAsia="Arial" w:hAnsi="Arial"/>
        </w:rPr>
      </w:pPr>
      <w:r w:rsidDel="00000000" w:rsidR="00000000" w:rsidRPr="00000000">
        <w:rPr>
          <w:rFonts w:ascii="Arial" w:cs="Arial" w:eastAsia="Arial" w:hAnsi="Arial"/>
          <w:rtl w:val="0"/>
        </w:rPr>
        <w:t xml:space="preserve">For hypothetical post-FAPI PET-CT / CECT: impact of addition of the data obtained from 68Ga FAPI PET-CT will be noted.</w:t>
      </w:r>
    </w:p>
    <w:p w:rsidR="00000000" w:rsidDel="00000000" w:rsidP="00000000" w:rsidRDefault="00000000" w:rsidRPr="00000000" w14:paraId="00000067">
      <w:pPr>
        <w:widowControl w:val="0"/>
        <w:numPr>
          <w:ilvl w:val="0"/>
          <w:numId w:val="5"/>
        </w:numPr>
        <w:spacing w:after="0" w:line="276" w:lineRule="auto"/>
        <w:ind w:left="720" w:right="36" w:hanging="360"/>
        <w:rPr>
          <w:rFonts w:ascii="Arial" w:cs="Arial" w:eastAsia="Arial" w:hAnsi="Arial"/>
        </w:rPr>
      </w:pPr>
      <w:r w:rsidDel="00000000" w:rsidR="00000000" w:rsidRPr="00000000">
        <w:rPr>
          <w:rFonts w:ascii="Arial" w:cs="Arial" w:eastAsia="Arial" w:hAnsi="Arial"/>
          <w:rtl w:val="0"/>
        </w:rPr>
        <w:t xml:space="preserve">Impact assessment will be done as follows:</w:t>
      </w:r>
    </w:p>
    <w:p w:rsidR="00000000" w:rsidDel="00000000" w:rsidP="00000000" w:rsidRDefault="00000000" w:rsidRPr="00000000" w14:paraId="00000068">
      <w:pPr>
        <w:widowControl w:val="0"/>
        <w:numPr>
          <w:ilvl w:val="1"/>
          <w:numId w:val="5"/>
        </w:numPr>
        <w:spacing w:after="0" w:line="276" w:lineRule="auto"/>
        <w:ind w:left="1440" w:right="36" w:hanging="360"/>
        <w:rPr>
          <w:rFonts w:ascii="Arial" w:cs="Arial" w:eastAsia="Arial" w:hAnsi="Arial"/>
        </w:rPr>
      </w:pPr>
      <w:r w:rsidDel="00000000" w:rsidR="00000000" w:rsidRPr="00000000">
        <w:rPr>
          <w:rFonts w:ascii="Arial" w:cs="Arial" w:eastAsia="Arial" w:hAnsi="Arial"/>
          <w:rtl w:val="0"/>
        </w:rPr>
        <w:t xml:space="preserve">HIGH IMPACT (change in modality of treatment)</w:t>
      </w:r>
    </w:p>
    <w:p w:rsidR="00000000" w:rsidDel="00000000" w:rsidP="00000000" w:rsidRDefault="00000000" w:rsidRPr="00000000" w14:paraId="00000069">
      <w:pPr>
        <w:widowControl w:val="0"/>
        <w:numPr>
          <w:ilvl w:val="1"/>
          <w:numId w:val="5"/>
        </w:numPr>
        <w:spacing w:after="0" w:line="276" w:lineRule="auto"/>
        <w:ind w:left="1440" w:right="36" w:hanging="360"/>
        <w:rPr>
          <w:rFonts w:ascii="Arial" w:cs="Arial" w:eastAsia="Arial" w:hAnsi="Arial"/>
        </w:rPr>
      </w:pPr>
      <w:r w:rsidDel="00000000" w:rsidR="00000000" w:rsidRPr="00000000">
        <w:rPr>
          <w:rFonts w:ascii="Arial" w:cs="Arial" w:eastAsia="Arial" w:hAnsi="Arial"/>
          <w:rtl w:val="0"/>
        </w:rPr>
        <w:t xml:space="preserve">MEDIUM IMPACT (addition or exclusion of one modality from the treatment plan or change in chemotherapy regimen)</w:t>
      </w:r>
    </w:p>
    <w:p w:rsidR="00000000" w:rsidDel="00000000" w:rsidP="00000000" w:rsidRDefault="00000000" w:rsidRPr="00000000" w14:paraId="0000006A">
      <w:pPr>
        <w:widowControl w:val="0"/>
        <w:numPr>
          <w:ilvl w:val="1"/>
          <w:numId w:val="5"/>
        </w:numPr>
        <w:spacing w:after="0" w:line="276" w:lineRule="auto"/>
        <w:ind w:left="1440" w:right="36" w:hanging="360"/>
        <w:rPr>
          <w:rFonts w:ascii="Arial" w:cs="Arial" w:eastAsia="Arial" w:hAnsi="Arial"/>
        </w:rPr>
      </w:pPr>
      <w:r w:rsidDel="00000000" w:rsidR="00000000" w:rsidRPr="00000000">
        <w:rPr>
          <w:rFonts w:ascii="Arial" w:cs="Arial" w:eastAsia="Arial" w:hAnsi="Arial"/>
          <w:rtl w:val="0"/>
        </w:rPr>
        <w:t xml:space="preserve">LOW IMPACT (change in therapy details within the same modality)</w:t>
      </w:r>
    </w:p>
    <w:p w:rsidR="00000000" w:rsidDel="00000000" w:rsidP="00000000" w:rsidRDefault="00000000" w:rsidRPr="00000000" w14:paraId="0000006B">
      <w:pPr>
        <w:widowControl w:val="0"/>
        <w:numPr>
          <w:ilvl w:val="1"/>
          <w:numId w:val="5"/>
        </w:numPr>
        <w:spacing w:after="0" w:line="276" w:lineRule="auto"/>
        <w:ind w:left="1440" w:right="36" w:hanging="360"/>
        <w:rPr>
          <w:rFonts w:ascii="Arial" w:cs="Arial" w:eastAsia="Arial" w:hAnsi="Arial"/>
        </w:rPr>
      </w:pPr>
      <w:r w:rsidDel="00000000" w:rsidR="00000000" w:rsidRPr="00000000">
        <w:rPr>
          <w:rFonts w:ascii="Arial" w:cs="Arial" w:eastAsia="Arial" w:hAnsi="Arial"/>
          <w:rtl w:val="0"/>
        </w:rPr>
        <w:t xml:space="preserve">NO IMPACT</w:t>
      </w:r>
      <w:r w:rsidDel="00000000" w:rsidR="00000000" w:rsidRPr="00000000">
        <w:rPr>
          <w:rtl w:val="0"/>
        </w:rPr>
      </w:r>
    </w:p>
    <w:p w:rsidR="00000000" w:rsidDel="00000000" w:rsidP="00000000" w:rsidRDefault="00000000" w:rsidRPr="00000000" w14:paraId="0000006C">
      <w:pPr>
        <w:spacing w:after="240" w:before="240" w:line="276"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Statistical Analysis</w:t>
      </w:r>
    </w:p>
    <w:p w:rsidR="00000000" w:rsidDel="00000000" w:rsidP="00000000" w:rsidRDefault="00000000" w:rsidRPr="00000000" w14:paraId="0000006D">
      <w:pPr>
        <w:spacing w:after="240" w:before="240" w:lineRule="auto"/>
        <w:rPr>
          <w:rFonts w:ascii="Arial" w:cs="Arial" w:eastAsia="Arial" w:hAnsi="Arial"/>
        </w:rPr>
      </w:pPr>
      <w:r w:rsidDel="00000000" w:rsidR="00000000" w:rsidRPr="00000000">
        <w:rPr>
          <w:rFonts w:ascii="Arial" w:cs="Arial" w:eastAsia="Arial" w:hAnsi="Arial"/>
          <w:rtl w:val="0"/>
        </w:rPr>
        <w:t xml:space="preserve">Statistical analysis will be performed using SPSS or equivalent software. Diagnostic performance of FAPI PET-CT and CECT for detection of peritoneal metastases will be assessed using diagnostic laparoscopy and histopathology as the reference standard, with calculation of sensitivity, specificity, PPV, NPV, accuracy, ROC curves, and AUC. PCI scores obtained from FAPI PET-CT, CECT, and diagnostic laparoscopy will be compared using appropriate non-parametric tests. The impact of FAPI PET-CT on treatment planning will be evaluated, and a p-value &lt;0.05 will be considered statistically significant.</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References</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16">
        <w:r w:rsidDel="00000000" w:rsidR="00000000" w:rsidRPr="00000000">
          <w:rPr>
            <w:rFonts w:ascii="Arial" w:cs="Arial" w:eastAsia="Arial" w:hAnsi="Arial"/>
            <w:b w:val="1"/>
            <w:bCs w:val="1"/>
            <w:rtl w:val="0"/>
          </w:rPr>
          <w:t xml:space="preserve">1</w:t>
        </w:r>
      </w:hyperlink>
      <w:hyperlink r:id="rId17">
        <w:r w:rsidDel="00000000" w:rsidR="00000000" w:rsidRPr="00000000">
          <w:rPr>
            <w:rFonts w:ascii="Arial" w:cs="Arial" w:eastAsia="Arial" w:hAnsi="Arial"/>
            <w:b w:val="1"/>
            <w:bCs w:val="1"/>
            <w:rtl w:val="0"/>
          </w:rPr>
          <w:t xml:space="preserve">.</w:t>
        </w:r>
      </w:hyperlink>
      <w:r w:rsidDel="00000000" w:rsidR="00000000" w:rsidRPr="00000000">
        <w:rPr>
          <w:rFonts w:ascii="Arial" w:cs="Arial" w:eastAsia="Arial" w:hAnsi="Arial"/>
          <w:b w:val="1"/>
          <w:bCs w:val="1"/>
          <w:rtl w:val="0"/>
        </w:rPr>
        <w:tab/>
      </w:r>
      <w:hyperlink r:id="rId18">
        <w:r w:rsidDel="00000000" w:rsidR="00000000" w:rsidRPr="00000000">
          <w:rPr>
            <w:rFonts w:ascii="Arial" w:cs="Arial" w:eastAsia="Arial" w:hAnsi="Arial"/>
            <w:b w:val="1"/>
            <w:bCs w:val="1"/>
            <w:rtl w:val="0"/>
          </w:rPr>
          <w:t xml:space="preserve">Segelman J, Granath F, Holm T, Machado M, Et. A. Incidence, prevalence and risk factors for peritoneal carcinomatosis from colorectal cancer. Br J Surg. 2012. doi:10.1002/bjs.8679 </w:t>
        </w:r>
      </w:hyperlink>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19">
        <w:r w:rsidDel="00000000" w:rsidR="00000000" w:rsidRPr="00000000">
          <w:rPr>
            <w:rFonts w:ascii="Arial" w:cs="Arial" w:eastAsia="Arial" w:hAnsi="Arial"/>
            <w:b w:val="1"/>
            <w:bCs w:val="1"/>
            <w:rtl w:val="0"/>
          </w:rPr>
          <w:t xml:space="preserve">2.</w:t>
        </w:r>
      </w:hyperlink>
      <w:r w:rsidDel="00000000" w:rsidR="00000000" w:rsidRPr="00000000">
        <w:rPr>
          <w:rFonts w:ascii="Arial" w:cs="Arial" w:eastAsia="Arial" w:hAnsi="Arial"/>
          <w:b w:val="1"/>
          <w:bCs w:val="1"/>
          <w:rtl w:val="0"/>
        </w:rPr>
        <w:tab/>
      </w:r>
      <w:hyperlink r:id="rId20">
        <w:r w:rsidDel="00000000" w:rsidR="00000000" w:rsidRPr="00000000">
          <w:rPr>
            <w:rFonts w:ascii="Arial" w:cs="Arial" w:eastAsia="Arial" w:hAnsi="Arial"/>
            <w:b w:val="1"/>
            <w:bCs w:val="1"/>
            <w:rtl w:val="0"/>
          </w:rPr>
          <w:t xml:space="preserve">Hamson EJ, Keane FM, Tholen S, Schilling O, Et. A. Understanding fibroblast activation protein (FAP): Substrates, activities, expression and targeting for cancer therapy. PROTEOMICS – Clin Appl. 2014. doi:10.1002/prca.201300095 </w:t>
        </w:r>
      </w:hyperlink>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21">
        <w:r w:rsidDel="00000000" w:rsidR="00000000" w:rsidRPr="00000000">
          <w:rPr>
            <w:rFonts w:ascii="Arial" w:cs="Arial" w:eastAsia="Arial" w:hAnsi="Arial"/>
            <w:b w:val="1"/>
            <w:bCs w:val="1"/>
            <w:rtl w:val="0"/>
          </w:rPr>
          <w:t xml:space="preserve">3.</w:t>
        </w:r>
      </w:hyperlink>
      <w:r w:rsidDel="00000000" w:rsidR="00000000" w:rsidRPr="00000000">
        <w:rPr>
          <w:rFonts w:ascii="Arial" w:cs="Arial" w:eastAsia="Arial" w:hAnsi="Arial"/>
          <w:b w:val="1"/>
          <w:bCs w:val="1"/>
          <w:rtl w:val="0"/>
        </w:rPr>
        <w:tab/>
      </w:r>
      <w:hyperlink r:id="rId22">
        <w:r w:rsidDel="00000000" w:rsidR="00000000" w:rsidRPr="00000000">
          <w:rPr>
            <w:rFonts w:ascii="Arial" w:cs="Arial" w:eastAsia="Arial" w:hAnsi="Arial"/>
            <w:b w:val="1"/>
            <w:bCs w:val="1"/>
            <w:rtl w:val="0"/>
          </w:rPr>
          <w:t xml:space="preserve">Loktev A, Lindner T, Mier W, Debus J, Altmann A, Jäger D, et al. A Tumor-Imaging Method Targeting Cancer-Associated Fibroblasts. J Nucl Med. 2018 Sep;59(9):1423–9. doi:10.2967/jnumed.118.210435 PubMed PMID: 29626120; PubMed Central PMCID: PMC6126438. </w:t>
        </w:r>
      </w:hyperlink>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23">
        <w:r w:rsidDel="00000000" w:rsidR="00000000" w:rsidRPr="00000000">
          <w:rPr>
            <w:rFonts w:ascii="Arial" w:cs="Arial" w:eastAsia="Arial" w:hAnsi="Arial"/>
            <w:b w:val="1"/>
            <w:bCs w:val="1"/>
            <w:rtl w:val="0"/>
          </w:rPr>
          <w:t xml:space="preserve">4.</w:t>
        </w:r>
      </w:hyperlink>
      <w:r w:rsidDel="00000000" w:rsidR="00000000" w:rsidRPr="00000000">
        <w:rPr>
          <w:rFonts w:ascii="Arial" w:cs="Arial" w:eastAsia="Arial" w:hAnsi="Arial"/>
          <w:b w:val="1"/>
          <w:bCs w:val="1"/>
          <w:rtl w:val="0"/>
        </w:rPr>
        <w:tab/>
      </w:r>
      <w:hyperlink r:id="rId24">
        <w:r w:rsidDel="00000000" w:rsidR="00000000" w:rsidRPr="00000000">
          <w:rPr>
            <w:rFonts w:ascii="Arial" w:cs="Arial" w:eastAsia="Arial" w:hAnsi="Arial"/>
            <w:b w:val="1"/>
            <w:bCs w:val="1"/>
            <w:rtl w:val="0"/>
          </w:rPr>
          <w:t xml:space="preserve">Chicago Consensus Working Group. The Chicago Consensus on Peritoneal Surface Malignancies: Management of Colorectal Metastases. Ann Surg Oncol. 2020 Jun;27(6):1761–7. doi:10.1245/s10434-020-08315-x </w:t>
        </w:r>
      </w:hyperlink>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25">
        <w:r w:rsidDel="00000000" w:rsidR="00000000" w:rsidRPr="00000000">
          <w:rPr>
            <w:rFonts w:ascii="Arial" w:cs="Arial" w:eastAsia="Arial" w:hAnsi="Arial"/>
            <w:b w:val="1"/>
            <w:bCs w:val="1"/>
            <w:rtl w:val="0"/>
          </w:rPr>
          <w:t xml:space="preserve">5.</w:t>
        </w:r>
      </w:hyperlink>
      <w:r w:rsidDel="00000000" w:rsidR="00000000" w:rsidRPr="00000000">
        <w:rPr>
          <w:rFonts w:ascii="Arial" w:cs="Arial" w:eastAsia="Arial" w:hAnsi="Arial"/>
          <w:b w:val="1"/>
          <w:bCs w:val="1"/>
          <w:rtl w:val="0"/>
        </w:rPr>
        <w:tab/>
      </w:r>
      <w:hyperlink r:id="rId26">
        <w:r w:rsidDel="00000000" w:rsidR="00000000" w:rsidRPr="00000000">
          <w:rPr>
            <w:rFonts w:ascii="Arial" w:cs="Arial" w:eastAsia="Arial" w:hAnsi="Arial"/>
            <w:b w:val="1"/>
            <w:bCs w:val="1"/>
            <w:rtl w:val="0"/>
          </w:rPr>
          <w:t xml:space="preserve">Burke E. Gastric Cancer Peritoneal Staging: Progress and Persistent Challenges. J Gastrointest Cancer. 2026;57(1):32. doi:10.1007/s12029-026-01404-2 PubMed PMID: 41634500; PubMed Central PMCID: PMC12868011. </w:t>
        </w:r>
      </w:hyperlink>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27">
        <w:r w:rsidDel="00000000" w:rsidR="00000000" w:rsidRPr="00000000">
          <w:rPr>
            <w:rFonts w:ascii="Arial" w:cs="Arial" w:eastAsia="Arial" w:hAnsi="Arial"/>
            <w:b w:val="1"/>
            <w:bCs w:val="1"/>
            <w:rtl w:val="0"/>
          </w:rPr>
          <w:t xml:space="preserve">6.</w:t>
        </w:r>
      </w:hyperlink>
      <w:r w:rsidDel="00000000" w:rsidR="00000000" w:rsidRPr="00000000">
        <w:rPr>
          <w:rFonts w:ascii="Arial" w:cs="Arial" w:eastAsia="Arial" w:hAnsi="Arial"/>
          <w:b w:val="1"/>
          <w:bCs w:val="1"/>
          <w:rtl w:val="0"/>
        </w:rPr>
        <w:tab/>
      </w:r>
      <w:hyperlink r:id="rId28">
        <w:r w:rsidDel="00000000" w:rsidR="00000000" w:rsidRPr="00000000">
          <w:rPr>
            <w:rFonts w:ascii="Arial" w:cs="Arial" w:eastAsia="Arial" w:hAnsi="Arial"/>
            <w:b w:val="1"/>
            <w:bCs w:val="1"/>
            <w:rtl w:val="0"/>
          </w:rPr>
          <w:t xml:space="preserve">Ho SYA, Tay KV. Systematic review of diagnostic tools for peritoneal metastasis in gastric cancer-staging laparoscopy and its alternatives. World J Gastrointest Surg. 2023 Oct 27;15(10):2280–93. doi:10.4240/wjgs.v15.i10.2280 PubMed PMID: 37969710; PubMed Central PMCID: PMC10642463. </w:t>
        </w:r>
      </w:hyperlink>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29">
        <w:r w:rsidDel="00000000" w:rsidR="00000000" w:rsidRPr="00000000">
          <w:rPr>
            <w:rFonts w:ascii="Arial" w:cs="Arial" w:eastAsia="Arial" w:hAnsi="Arial"/>
            <w:b w:val="1"/>
            <w:bCs w:val="1"/>
            <w:rtl w:val="0"/>
          </w:rPr>
          <w:t xml:space="preserve">7.</w:t>
        </w:r>
      </w:hyperlink>
      <w:r w:rsidDel="00000000" w:rsidR="00000000" w:rsidRPr="00000000">
        <w:rPr>
          <w:rFonts w:ascii="Arial" w:cs="Arial" w:eastAsia="Arial" w:hAnsi="Arial"/>
          <w:b w:val="1"/>
          <w:bCs w:val="1"/>
          <w:rtl w:val="0"/>
        </w:rPr>
        <w:tab/>
      </w:r>
      <w:hyperlink r:id="rId30">
        <w:r w:rsidDel="00000000" w:rsidR="00000000" w:rsidRPr="00000000">
          <w:rPr>
            <w:rFonts w:ascii="Arial" w:cs="Arial" w:eastAsia="Arial" w:hAnsi="Arial"/>
            <w:b w:val="1"/>
            <w:bCs w:val="1"/>
            <w:rtl w:val="0"/>
          </w:rPr>
          <w:t xml:space="preserve">Zhao L, Pang Y, Luo Z, Fu K, Yang T, Zhao L, et al. Role of [68Ga]Ga-DOTA-FAPI-04 PET/CT in the evaluation of peritoneal carcinomatosis and comparison with [18F]-FDG PET/CT. Eur J Nucl Med Mol Imaging. 2021 Jun;48(6):1944–55. doi:10.1007/s00259-020-05146-6 </w:t>
        </w:r>
      </w:hyperlink>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31">
        <w:r w:rsidDel="00000000" w:rsidR="00000000" w:rsidRPr="00000000">
          <w:rPr>
            <w:rFonts w:ascii="Arial" w:cs="Arial" w:eastAsia="Arial" w:hAnsi="Arial"/>
            <w:b w:val="1"/>
            <w:bCs w:val="1"/>
            <w:rtl w:val="0"/>
          </w:rPr>
          <w:t xml:space="preserve">8.</w:t>
        </w:r>
      </w:hyperlink>
      <w:r w:rsidDel="00000000" w:rsidR="00000000" w:rsidRPr="00000000">
        <w:rPr>
          <w:rFonts w:ascii="Arial" w:cs="Arial" w:eastAsia="Arial" w:hAnsi="Arial"/>
          <w:b w:val="1"/>
          <w:bCs w:val="1"/>
          <w:rtl w:val="0"/>
        </w:rPr>
        <w:tab/>
      </w:r>
      <w:hyperlink r:id="rId32">
        <w:r w:rsidDel="00000000" w:rsidR="00000000" w:rsidRPr="00000000">
          <w:rPr>
            <w:rFonts w:ascii="Arial" w:cs="Arial" w:eastAsia="Arial" w:hAnsi="Arial"/>
            <w:b w:val="1"/>
            <w:bCs w:val="1"/>
            <w:rtl w:val="0"/>
          </w:rPr>
          <w:t xml:space="preserve">Guo W, Chen H. </w:t>
        </w:r>
      </w:hyperlink>
      <w:hyperlink r:id="rId33">
        <w:r w:rsidDel="00000000" w:rsidR="00000000" w:rsidRPr="00000000">
          <w:rPr>
            <w:rFonts w:ascii="Arial" w:cs="Arial" w:eastAsia="Arial" w:hAnsi="Arial"/>
            <w:b w:val="1"/>
            <w:bCs w:val="1"/>
            <w:vertAlign w:val="superscript"/>
            <w:rtl w:val="0"/>
          </w:rPr>
          <w:t xml:space="preserve">68</w:t>
        </w:r>
      </w:hyperlink>
      <w:hyperlink r:id="rId34">
        <w:r w:rsidDel="00000000" w:rsidR="00000000" w:rsidRPr="00000000">
          <w:rPr>
            <w:rFonts w:ascii="Arial" w:cs="Arial" w:eastAsia="Arial" w:hAnsi="Arial"/>
            <w:b w:val="1"/>
            <w:bCs w:val="1"/>
            <w:rtl w:val="0"/>
          </w:rPr>
          <w:t xml:space="preserve">Ga FAPI PET/CT Imaging in Peritoneal Carcinomatosis. Radiology. 2020. doi:10.1148/radiol.2020202469 </w:t>
        </w:r>
      </w:hyperlink>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35">
        <w:r w:rsidDel="00000000" w:rsidR="00000000" w:rsidRPr="00000000">
          <w:rPr>
            <w:rFonts w:ascii="Arial" w:cs="Arial" w:eastAsia="Arial" w:hAnsi="Arial"/>
            <w:b w:val="1"/>
            <w:bCs w:val="1"/>
            <w:rtl w:val="0"/>
          </w:rPr>
          <w:t xml:space="preserve">9.</w:t>
        </w:r>
      </w:hyperlink>
      <w:r w:rsidDel="00000000" w:rsidR="00000000" w:rsidRPr="00000000">
        <w:rPr>
          <w:rFonts w:ascii="Arial" w:cs="Arial" w:eastAsia="Arial" w:hAnsi="Arial"/>
          <w:b w:val="1"/>
          <w:bCs w:val="1"/>
          <w:rtl w:val="0"/>
        </w:rPr>
        <w:tab/>
      </w:r>
      <w:hyperlink r:id="rId36">
        <w:r w:rsidDel="00000000" w:rsidR="00000000" w:rsidRPr="00000000">
          <w:rPr>
            <w:rFonts w:ascii="Arial" w:cs="Arial" w:eastAsia="Arial" w:hAnsi="Arial"/>
            <w:b w:val="1"/>
            <w:bCs w:val="1"/>
            <w:rtl w:val="0"/>
          </w:rPr>
          <w:t xml:space="preserve">Kalluri R. The biology and function of fibroblasts in cancer. Nat Rev Cancer. 2016 Sep;16(9):582–98. doi:10.1038/nrc.2016.73 </w:t>
        </w:r>
      </w:hyperlink>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37">
        <w:r w:rsidDel="00000000" w:rsidR="00000000" w:rsidRPr="00000000">
          <w:rPr>
            <w:rFonts w:ascii="Arial" w:cs="Arial" w:eastAsia="Arial" w:hAnsi="Arial"/>
            <w:b w:val="1"/>
            <w:bCs w:val="1"/>
            <w:rtl w:val="0"/>
          </w:rPr>
          <w:t xml:space="preserve">10.</w:t>
        </w:r>
      </w:hyperlink>
      <w:r w:rsidDel="00000000" w:rsidR="00000000" w:rsidRPr="00000000">
        <w:rPr>
          <w:rFonts w:ascii="Arial" w:cs="Arial" w:eastAsia="Arial" w:hAnsi="Arial"/>
          <w:b w:val="1"/>
          <w:bCs w:val="1"/>
          <w:rtl w:val="0"/>
        </w:rPr>
        <w:tab/>
      </w:r>
      <w:hyperlink r:id="rId38">
        <w:r w:rsidDel="00000000" w:rsidR="00000000" w:rsidRPr="00000000">
          <w:rPr>
            <w:rFonts w:ascii="Arial" w:cs="Arial" w:eastAsia="Arial" w:hAnsi="Arial"/>
            <w:b w:val="1"/>
            <w:bCs w:val="1"/>
            <w:rtl w:val="0"/>
          </w:rPr>
          <w:t xml:space="preserve">Kennedy T, Singh S, Abood G, Christenson E, Anker CJ, Akselrod D, et al. Executive Summary of the American Radium Society Appropriate Use Criteria for the Management of Peritoneal Carcinomatosis From Different Tumor Origins: Systematic Review and Guidelines. Cancer Med. 2025 Jul 22;14(14):e71043. doi:10.1002/cam4.71043 PubMed PMID: 40693544; PubMed Central PMCID: PMC12281213. </w:t>
        </w:r>
      </w:hyperlink>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39">
        <w:r w:rsidDel="00000000" w:rsidR="00000000" w:rsidRPr="00000000">
          <w:rPr>
            <w:rFonts w:ascii="Arial" w:cs="Arial" w:eastAsia="Arial" w:hAnsi="Arial"/>
            <w:b w:val="1"/>
            <w:bCs w:val="1"/>
            <w:rtl w:val="0"/>
          </w:rPr>
          <w:t xml:space="preserve">11.</w:t>
        </w:r>
      </w:hyperlink>
      <w:r w:rsidDel="00000000" w:rsidR="00000000" w:rsidRPr="00000000">
        <w:rPr>
          <w:rFonts w:ascii="Arial" w:cs="Arial" w:eastAsia="Arial" w:hAnsi="Arial"/>
          <w:b w:val="1"/>
          <w:bCs w:val="1"/>
          <w:rtl w:val="0"/>
        </w:rPr>
        <w:tab/>
      </w:r>
      <w:hyperlink r:id="rId40">
        <w:r w:rsidDel="00000000" w:rsidR="00000000" w:rsidRPr="00000000">
          <w:rPr>
            <w:rFonts w:ascii="Arial" w:cs="Arial" w:eastAsia="Arial" w:hAnsi="Arial"/>
            <w:b w:val="1"/>
            <w:bCs w:val="1"/>
            <w:rtl w:val="0"/>
          </w:rPr>
          <w:t xml:space="preserve">Zhang Y, Xu M, Wang Y, Yu F, Chen X, Wang G, et al. Characteristics of 18F-FAPI-04 PET/CT in patients with peritoneal metastasis and to predict treatment efficacy, a head-to-head comparison with 18F-FDG PET/CT. Cancer Imaging. 2025 Jun 2;25:66. doi:10.1186/s40644-025-00887-9 PubMed PMID: 40457405; PubMed Central PMCID: PMC12128257. </w:t>
        </w:r>
      </w:hyperlink>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41">
        <w:r w:rsidDel="00000000" w:rsidR="00000000" w:rsidRPr="00000000">
          <w:rPr>
            <w:rFonts w:ascii="Arial" w:cs="Arial" w:eastAsia="Arial" w:hAnsi="Arial"/>
            <w:b w:val="1"/>
            <w:bCs w:val="1"/>
            <w:rtl w:val="0"/>
          </w:rPr>
          <w:t xml:space="preserve">12.</w:t>
        </w:r>
      </w:hyperlink>
      <w:r w:rsidDel="00000000" w:rsidR="00000000" w:rsidRPr="00000000">
        <w:rPr>
          <w:rFonts w:ascii="Arial" w:cs="Arial" w:eastAsia="Arial" w:hAnsi="Arial"/>
          <w:b w:val="1"/>
          <w:bCs w:val="1"/>
          <w:rtl w:val="0"/>
        </w:rPr>
        <w:tab/>
      </w:r>
      <w:hyperlink r:id="rId42">
        <w:r w:rsidDel="00000000" w:rsidR="00000000" w:rsidRPr="00000000">
          <w:rPr>
            <w:rFonts w:ascii="Arial" w:cs="Arial" w:eastAsia="Arial" w:hAnsi="Arial"/>
            <w:b w:val="1"/>
            <w:bCs w:val="1"/>
            <w:rtl w:val="0"/>
          </w:rPr>
          <w:t xml:space="preserve">Zhou Y, Zhao Y, Shuai D, Yang X, Hu Q, Deng X, et al. Comparison of 68Ga-FAPI-04 PET/CT with CECT in the evaluation of peritoneal metastases from gastrointestinal cancers and impact on clinical decision-making. J Cancer Res Clin Oncol. 2025 Jul 4;151(7):201. doi:10.1007/s00432-025-06237-3 PubMed PMID: 40610672; PubMed Central PMCID: PMC12226647. </w:t>
        </w:r>
      </w:hyperlink>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43">
        <w:r w:rsidDel="00000000" w:rsidR="00000000" w:rsidRPr="00000000">
          <w:rPr>
            <w:rFonts w:ascii="Arial" w:cs="Arial" w:eastAsia="Arial" w:hAnsi="Arial"/>
            <w:b w:val="1"/>
            <w:bCs w:val="1"/>
            <w:rtl w:val="0"/>
          </w:rPr>
          <w:t xml:space="preserve">13.</w:t>
        </w:r>
      </w:hyperlink>
      <w:r w:rsidDel="00000000" w:rsidR="00000000" w:rsidRPr="00000000">
        <w:rPr>
          <w:rFonts w:ascii="Arial" w:cs="Arial" w:eastAsia="Arial" w:hAnsi="Arial"/>
          <w:b w:val="1"/>
          <w:bCs w:val="1"/>
          <w:rtl w:val="0"/>
        </w:rPr>
        <w:tab/>
      </w:r>
      <w:hyperlink r:id="rId44">
        <w:r w:rsidDel="00000000" w:rsidR="00000000" w:rsidRPr="00000000">
          <w:rPr>
            <w:rFonts w:ascii="Arial" w:cs="Arial" w:eastAsia="Arial" w:hAnsi="Arial"/>
            <w:b w:val="1"/>
            <w:bCs w:val="1"/>
            <w:rtl w:val="0"/>
          </w:rPr>
          <w:t xml:space="preserve">Guglielmo P, Alongi P, Baratto L, Abenavoli E, Buschiazzo A, Celesti G, et al. Head-to-Head Comparison of FDG and Radiolabeled FAPI PET: A Systematic Review of the Literature. Life. 2023 Aug 28;13(9):1821. doi:10.3390/life13091821 </w:t>
        </w:r>
      </w:hyperlink>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45">
        <w:r w:rsidDel="00000000" w:rsidR="00000000" w:rsidRPr="00000000">
          <w:rPr>
            <w:rFonts w:ascii="Arial" w:cs="Arial" w:eastAsia="Arial" w:hAnsi="Arial"/>
            <w:b w:val="1"/>
            <w:bCs w:val="1"/>
            <w:rtl w:val="0"/>
          </w:rPr>
          <w:t xml:space="preserve">14.</w:t>
        </w:r>
      </w:hyperlink>
      <w:r w:rsidDel="00000000" w:rsidR="00000000" w:rsidRPr="00000000">
        <w:rPr>
          <w:rFonts w:ascii="Arial" w:cs="Arial" w:eastAsia="Arial" w:hAnsi="Arial"/>
          <w:b w:val="1"/>
          <w:bCs w:val="1"/>
          <w:rtl w:val="0"/>
        </w:rPr>
        <w:tab/>
      </w:r>
      <w:hyperlink r:id="rId46">
        <w:r w:rsidDel="00000000" w:rsidR="00000000" w:rsidRPr="00000000">
          <w:rPr>
            <w:rFonts w:ascii="Arial" w:cs="Arial" w:eastAsia="Arial" w:hAnsi="Arial"/>
            <w:b w:val="1"/>
            <w:bCs w:val="1"/>
            <w:rtl w:val="0"/>
          </w:rPr>
          <w:t xml:space="preserve">Marin D, Catalano C, Baski M, Di Martino M, Et. A. 64-Section multi-detector row CT in the preoperative diagnosis of peritoneal carcinomatosis: correlation with histopathological findings. Abdom Imaging. 2009. doi:10.1007/s00261-008-9464-9 </w:t>
        </w:r>
      </w:hyperlink>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I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hyperlink" Target="https://www.zotero.org/google-docs/?3u9F0m" TargetMode="External"/><Relationship Id="rId20" Type="http://schemas.openxmlformats.org/officeDocument/2006/relationships/hyperlink" Target="https://www.zotero.org/google-docs/?3u9F0m" TargetMode="External"/><Relationship Id="rId42" Type="http://schemas.openxmlformats.org/officeDocument/2006/relationships/hyperlink" Target="https://www.zotero.org/google-docs/?3u9F0m" TargetMode="External"/><Relationship Id="rId41" Type="http://schemas.openxmlformats.org/officeDocument/2006/relationships/hyperlink" Target="https://www.zotero.org/google-docs/?3u9F0m" TargetMode="External"/><Relationship Id="rId22" Type="http://schemas.openxmlformats.org/officeDocument/2006/relationships/hyperlink" Target="https://www.zotero.org/google-docs/?3u9F0m" TargetMode="External"/><Relationship Id="rId44" Type="http://schemas.openxmlformats.org/officeDocument/2006/relationships/hyperlink" Target="https://www.zotero.org/google-docs/?3u9F0m" TargetMode="External"/><Relationship Id="rId21" Type="http://schemas.openxmlformats.org/officeDocument/2006/relationships/hyperlink" Target="https://www.zotero.org/google-docs/?3u9F0m" TargetMode="External"/><Relationship Id="rId43" Type="http://schemas.openxmlformats.org/officeDocument/2006/relationships/hyperlink" Target="https://www.zotero.org/google-docs/?3u9F0m" TargetMode="External"/><Relationship Id="rId24" Type="http://schemas.openxmlformats.org/officeDocument/2006/relationships/hyperlink" Target="https://www.zotero.org/google-docs/?3u9F0m" TargetMode="External"/><Relationship Id="rId46" Type="http://schemas.openxmlformats.org/officeDocument/2006/relationships/hyperlink" Target="https://www.zotero.org/google-docs/?3u9F0m" TargetMode="External"/><Relationship Id="rId23" Type="http://schemas.openxmlformats.org/officeDocument/2006/relationships/hyperlink" Target="https://www.zotero.org/google-docs/?3u9F0m" TargetMode="External"/><Relationship Id="rId45" Type="http://schemas.openxmlformats.org/officeDocument/2006/relationships/hyperlink" Target="https://www.zotero.org/google-docs/?3u9F0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zotero.org/google-docs/?lHbq1g" TargetMode="External"/><Relationship Id="rId26" Type="http://schemas.openxmlformats.org/officeDocument/2006/relationships/hyperlink" Target="https://www.zotero.org/google-docs/?3u9F0m" TargetMode="External"/><Relationship Id="rId25" Type="http://schemas.openxmlformats.org/officeDocument/2006/relationships/hyperlink" Target="https://www.zotero.org/google-docs/?3u9F0m" TargetMode="External"/><Relationship Id="rId28" Type="http://schemas.openxmlformats.org/officeDocument/2006/relationships/hyperlink" Target="https://www.zotero.org/google-docs/?3u9F0m" TargetMode="External"/><Relationship Id="rId27" Type="http://schemas.openxmlformats.org/officeDocument/2006/relationships/hyperlink" Target="https://www.zotero.org/google-docs/?3u9F0m" TargetMode="External"/><Relationship Id="rId5" Type="http://schemas.openxmlformats.org/officeDocument/2006/relationships/styles" Target="styles.xml"/><Relationship Id="rId6" Type="http://schemas.openxmlformats.org/officeDocument/2006/relationships/image" Target="media/image1.png"/><Relationship Id="rId29" Type="http://schemas.openxmlformats.org/officeDocument/2006/relationships/hyperlink" Target="https://www.zotero.org/google-docs/?3u9F0m" TargetMode="External"/><Relationship Id="rId7" Type="http://schemas.openxmlformats.org/officeDocument/2006/relationships/hyperlink" Target="https://www.zotero.org/google-docs/?U0aOSd" TargetMode="External"/><Relationship Id="rId8" Type="http://schemas.openxmlformats.org/officeDocument/2006/relationships/hyperlink" Target="https://www.zotero.org/google-docs/?AYu7jJ" TargetMode="External"/><Relationship Id="rId31" Type="http://schemas.openxmlformats.org/officeDocument/2006/relationships/hyperlink" Target="https://www.zotero.org/google-docs/?3u9F0m" TargetMode="External"/><Relationship Id="rId30" Type="http://schemas.openxmlformats.org/officeDocument/2006/relationships/hyperlink" Target="https://www.zotero.org/google-docs/?3u9F0m" TargetMode="External"/><Relationship Id="rId11" Type="http://schemas.openxmlformats.org/officeDocument/2006/relationships/hyperlink" Target="https://www.zotero.org/google-docs/?PtJ4EC" TargetMode="External"/><Relationship Id="rId33" Type="http://schemas.openxmlformats.org/officeDocument/2006/relationships/hyperlink" Target="https://www.zotero.org/google-docs/?3u9F0m" TargetMode="External"/><Relationship Id="rId10" Type="http://schemas.openxmlformats.org/officeDocument/2006/relationships/hyperlink" Target="https://www.zotero.org/google-docs/?3CPDAI" TargetMode="External"/><Relationship Id="rId32" Type="http://schemas.openxmlformats.org/officeDocument/2006/relationships/hyperlink" Target="https://www.zotero.org/google-docs/?3u9F0m" TargetMode="External"/><Relationship Id="rId13" Type="http://schemas.openxmlformats.org/officeDocument/2006/relationships/hyperlink" Target="https://www.zotero.org/google-docs/?nuyVed" TargetMode="External"/><Relationship Id="rId35" Type="http://schemas.openxmlformats.org/officeDocument/2006/relationships/hyperlink" Target="https://www.zotero.org/google-docs/?3u9F0m" TargetMode="External"/><Relationship Id="rId12" Type="http://schemas.openxmlformats.org/officeDocument/2006/relationships/hyperlink" Target="https://www.zotero.org/google-docs/?Tor3Qf" TargetMode="External"/><Relationship Id="rId34" Type="http://schemas.openxmlformats.org/officeDocument/2006/relationships/hyperlink" Target="https://www.zotero.org/google-docs/?3u9F0m" TargetMode="External"/><Relationship Id="rId15" Type="http://schemas.openxmlformats.org/officeDocument/2006/relationships/hyperlink" Target="https://www.zotero.org/google-docs/?9ijXoQ" TargetMode="External"/><Relationship Id="rId37" Type="http://schemas.openxmlformats.org/officeDocument/2006/relationships/hyperlink" Target="https://www.zotero.org/google-docs/?3u9F0m" TargetMode="External"/><Relationship Id="rId14" Type="http://schemas.openxmlformats.org/officeDocument/2006/relationships/hyperlink" Target="https://www.zotero.org/google-docs/?quxhTV" TargetMode="External"/><Relationship Id="rId36" Type="http://schemas.openxmlformats.org/officeDocument/2006/relationships/hyperlink" Target="https://www.zotero.org/google-docs/?3u9F0m" TargetMode="External"/><Relationship Id="rId17" Type="http://schemas.openxmlformats.org/officeDocument/2006/relationships/hyperlink" Target="https://www.zotero.org/google-docs/?3u9F0m" TargetMode="External"/><Relationship Id="rId39" Type="http://schemas.openxmlformats.org/officeDocument/2006/relationships/hyperlink" Target="https://www.zotero.org/google-docs/?3u9F0m" TargetMode="External"/><Relationship Id="rId16" Type="http://schemas.openxmlformats.org/officeDocument/2006/relationships/hyperlink" Target="https://www.zotero.org/google-docs/?3u9F0m" TargetMode="External"/><Relationship Id="rId38" Type="http://schemas.openxmlformats.org/officeDocument/2006/relationships/hyperlink" Target="https://www.zotero.org/google-docs/?3u9F0m" TargetMode="External"/><Relationship Id="rId19" Type="http://schemas.openxmlformats.org/officeDocument/2006/relationships/hyperlink" Target="https://www.zotero.org/google-docs/?3u9F0m" TargetMode="External"/><Relationship Id="rId18" Type="http://schemas.openxmlformats.org/officeDocument/2006/relationships/hyperlink" Target="https://www.zotero.org/google-docs/?3u9F0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